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5F8" w:rsidRDefault="009025F8">
      <w:pPr>
        <w:rPr>
          <w:sz w:val="24"/>
          <w:szCs w:val="24"/>
          <w:lang w:val="sr-Latn-RS"/>
        </w:rPr>
      </w:pPr>
    </w:p>
    <w:p w:rsidR="009025F8" w:rsidRDefault="00CC6C67">
      <w:pPr>
        <w:spacing w:before="100" w:beforeAutospacing="1" w:after="100" w:afterAutospacing="1"/>
        <w:jc w:val="center"/>
        <w:rPr>
          <w:rFonts w:eastAsia="Times New Roman"/>
          <w:b/>
          <w:sz w:val="24"/>
          <w:szCs w:val="24"/>
          <w:lang w:val="sr-Latn-BA"/>
        </w:rPr>
      </w:pPr>
      <w:r>
        <w:rPr>
          <w:rFonts w:eastAsia="Times New Roman"/>
          <w:b/>
          <w:sz w:val="24"/>
          <w:szCs w:val="24"/>
          <w:lang w:val="sr-Latn-BA"/>
        </w:rPr>
        <w:t>EKONOMSKI FAKULTET U SUBOTICI</w:t>
      </w:r>
    </w:p>
    <w:p w:rsidR="009025F8" w:rsidRDefault="00CC6C67">
      <w:pPr>
        <w:spacing w:before="100" w:beforeAutospacing="1" w:after="100" w:afterAutospacing="1"/>
        <w:jc w:val="center"/>
        <w:rPr>
          <w:rFonts w:eastAsia="Times New Roman"/>
          <w:b/>
          <w:sz w:val="24"/>
          <w:szCs w:val="24"/>
          <w:lang w:val="sr-Latn-BA"/>
        </w:rPr>
      </w:pPr>
      <w:r>
        <w:rPr>
          <w:rFonts w:eastAsia="Times New Roman"/>
          <w:b/>
          <w:sz w:val="24"/>
          <w:szCs w:val="24"/>
          <w:lang w:val="sr-Latn-BA"/>
        </w:rPr>
        <w:t>UNIVERZITET U NOVOM SADU</w:t>
      </w:r>
    </w:p>
    <w:p w:rsidR="009025F8" w:rsidRDefault="00CC6C67">
      <w:pPr>
        <w:spacing w:before="100" w:beforeAutospacing="1" w:after="100" w:afterAutospacing="1"/>
        <w:jc w:val="center"/>
        <w:rPr>
          <w:rFonts w:eastAsia="Times New Roman"/>
          <w:b/>
          <w:sz w:val="24"/>
          <w:szCs w:val="24"/>
          <w:lang w:val="sr-Latn-BA"/>
        </w:rPr>
      </w:pPr>
      <w:r>
        <w:rPr>
          <w:rFonts w:eastAsia="Times New Roman"/>
          <w:noProof/>
          <w:sz w:val="24"/>
          <w:szCs w:val="24"/>
        </w:rPr>
        <w:drawing>
          <wp:anchor distT="0" distB="0" distL="114300" distR="114300" simplePos="0" relativeHeight="251659264" behindDoc="0" locked="0" layoutInCell="1" allowOverlap="1">
            <wp:simplePos x="0" y="0"/>
            <wp:positionH relativeFrom="margin">
              <wp:posOffset>2333625</wp:posOffset>
            </wp:positionH>
            <wp:positionV relativeFrom="paragraph">
              <wp:posOffset>704215</wp:posOffset>
            </wp:positionV>
            <wp:extent cx="1114425" cy="1114425"/>
            <wp:effectExtent l="0" t="0" r="9525"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114425" cy="1114425"/>
                    </a:xfrm>
                    <a:prstGeom prst="rect">
                      <a:avLst/>
                    </a:prstGeom>
                    <a:noFill/>
                  </pic:spPr>
                </pic:pic>
              </a:graphicData>
            </a:graphic>
          </wp:anchor>
        </w:drawing>
      </w:r>
      <w:r>
        <w:rPr>
          <w:rFonts w:eastAsia="Times New Roman"/>
          <w:b/>
          <w:sz w:val="24"/>
          <w:szCs w:val="24"/>
          <w:lang w:val="sr-Latn-BA"/>
        </w:rPr>
        <w:t>EVROPSKA I MEĐUNARODNA EKONOMIJA I BIZNIS</w:t>
      </w:r>
    </w:p>
    <w:p w:rsidR="009025F8" w:rsidRDefault="009025F8">
      <w:pPr>
        <w:spacing w:before="100" w:beforeAutospacing="1" w:after="100" w:afterAutospacing="1"/>
        <w:jc w:val="center"/>
        <w:rPr>
          <w:rFonts w:eastAsia="Times New Roman"/>
          <w:sz w:val="24"/>
          <w:szCs w:val="24"/>
          <w:lang w:val="sr-Latn-BA"/>
        </w:rPr>
      </w:pPr>
    </w:p>
    <w:p w:rsidR="009025F8" w:rsidRDefault="009025F8">
      <w:pPr>
        <w:spacing w:before="100" w:beforeAutospacing="1" w:after="100" w:afterAutospacing="1"/>
        <w:jc w:val="center"/>
        <w:rPr>
          <w:rFonts w:eastAsia="Times New Roman"/>
          <w:sz w:val="24"/>
          <w:szCs w:val="24"/>
          <w:lang w:val="sr-Latn-BA"/>
        </w:rPr>
      </w:pPr>
    </w:p>
    <w:p w:rsidR="009025F8" w:rsidRDefault="009025F8">
      <w:pPr>
        <w:spacing w:before="100" w:beforeAutospacing="1" w:after="100" w:afterAutospacing="1"/>
        <w:jc w:val="center"/>
        <w:rPr>
          <w:rFonts w:eastAsia="Times New Roman"/>
          <w:sz w:val="24"/>
          <w:szCs w:val="24"/>
          <w:lang w:val="sr-Latn-BA"/>
        </w:rPr>
      </w:pPr>
    </w:p>
    <w:p w:rsidR="009025F8" w:rsidRDefault="009025F8">
      <w:pPr>
        <w:spacing w:before="100" w:beforeAutospacing="1" w:after="100" w:afterAutospacing="1"/>
        <w:jc w:val="center"/>
        <w:rPr>
          <w:rFonts w:eastAsia="Times New Roman"/>
          <w:sz w:val="24"/>
          <w:szCs w:val="24"/>
          <w:lang w:val="sr-Latn-BA"/>
        </w:rPr>
      </w:pPr>
    </w:p>
    <w:p w:rsidR="009025F8" w:rsidRDefault="009025F8">
      <w:pPr>
        <w:spacing w:before="100" w:beforeAutospacing="1" w:after="100" w:afterAutospacing="1"/>
        <w:jc w:val="center"/>
        <w:rPr>
          <w:rFonts w:eastAsia="Times New Roman"/>
          <w:sz w:val="24"/>
          <w:szCs w:val="24"/>
          <w:lang w:val="sr-Latn-BA"/>
        </w:rPr>
      </w:pPr>
    </w:p>
    <w:p w:rsidR="009025F8" w:rsidRDefault="00CC6C67">
      <w:pPr>
        <w:spacing w:before="100" w:beforeAutospacing="1" w:after="100" w:afterAutospacing="1"/>
        <w:jc w:val="center"/>
        <w:rPr>
          <w:rFonts w:eastAsia="Times New Roman"/>
          <w:sz w:val="24"/>
          <w:szCs w:val="24"/>
          <w:lang w:val="sr-Latn-BA"/>
        </w:rPr>
      </w:pPr>
      <w:r>
        <w:rPr>
          <w:rFonts w:eastAsia="Times New Roman"/>
          <w:sz w:val="24"/>
          <w:szCs w:val="24"/>
          <w:lang w:val="sr-Latn-BA"/>
        </w:rPr>
        <w:t xml:space="preserve">Predmet: </w:t>
      </w:r>
      <w:r>
        <w:rPr>
          <w:rFonts w:eastAsia="Times New Roman"/>
          <w:sz w:val="24"/>
          <w:szCs w:val="24"/>
          <w:lang w:val="sr-Latn-RS"/>
        </w:rPr>
        <w:t>Agrrna politka Evropske unije</w:t>
      </w:r>
    </w:p>
    <w:p w:rsidR="009025F8" w:rsidRDefault="00496C01">
      <w:pPr>
        <w:spacing w:before="100" w:beforeAutospacing="1" w:after="100" w:afterAutospacing="1"/>
        <w:jc w:val="center"/>
        <w:rPr>
          <w:rFonts w:eastAsia="Times New Roman"/>
          <w:b/>
          <w:sz w:val="28"/>
          <w:szCs w:val="28"/>
          <w:lang w:val="sr-Latn-RS"/>
        </w:rPr>
      </w:pPr>
      <w:r>
        <w:rPr>
          <w:rFonts w:eastAsia="Times New Roman"/>
          <w:b/>
          <w:sz w:val="28"/>
          <w:szCs w:val="28"/>
          <w:lang w:val="sr-Latn-RS"/>
        </w:rPr>
        <w:t>REFORMISANJE</w:t>
      </w:r>
      <w:r w:rsidR="00CC6C67">
        <w:rPr>
          <w:rFonts w:eastAsia="Times New Roman"/>
          <w:b/>
          <w:sz w:val="28"/>
          <w:szCs w:val="28"/>
          <w:lang w:val="sr-Latn-RS"/>
        </w:rPr>
        <w:t xml:space="preserve"> ZAJEDNIČKE AGRARNE POLITI</w:t>
      </w:r>
      <w:r>
        <w:rPr>
          <w:rFonts w:eastAsia="Times New Roman"/>
          <w:b/>
          <w:sz w:val="28"/>
          <w:szCs w:val="28"/>
          <w:lang w:val="sr-Latn-RS"/>
        </w:rPr>
        <w:t>K</w:t>
      </w:r>
      <w:r w:rsidR="00CC6C67">
        <w:rPr>
          <w:rFonts w:eastAsia="Times New Roman"/>
          <w:b/>
          <w:sz w:val="28"/>
          <w:szCs w:val="28"/>
          <w:lang w:val="sr-Latn-RS"/>
        </w:rPr>
        <w:t xml:space="preserve">E </w:t>
      </w:r>
      <w:r>
        <w:rPr>
          <w:rFonts w:eastAsia="Times New Roman"/>
          <w:b/>
          <w:sz w:val="28"/>
          <w:szCs w:val="28"/>
          <w:lang w:val="sr-Latn-RS"/>
        </w:rPr>
        <w:t xml:space="preserve">ZEMALJA </w:t>
      </w:r>
      <w:bookmarkStart w:id="0" w:name="_GoBack"/>
      <w:bookmarkEnd w:id="0"/>
      <w:r w:rsidR="00CC6C67">
        <w:rPr>
          <w:rFonts w:eastAsia="Times New Roman"/>
          <w:b/>
          <w:sz w:val="28"/>
          <w:szCs w:val="28"/>
          <w:lang w:val="sr-Latn-RS"/>
        </w:rPr>
        <w:t>EVROPSKE UNIJE</w:t>
      </w:r>
    </w:p>
    <w:p w:rsidR="009025F8" w:rsidRDefault="00CC6C67">
      <w:pPr>
        <w:spacing w:before="100" w:beforeAutospacing="1" w:after="100" w:afterAutospacing="1"/>
        <w:jc w:val="center"/>
        <w:rPr>
          <w:rFonts w:eastAsia="Times New Roman"/>
          <w:sz w:val="24"/>
          <w:szCs w:val="24"/>
          <w:lang w:val="sr-Latn-BA"/>
        </w:rPr>
      </w:pPr>
      <w:r>
        <w:rPr>
          <w:rFonts w:eastAsia="Times New Roman"/>
          <w:sz w:val="24"/>
          <w:szCs w:val="24"/>
          <w:lang w:val="sr-Latn-BA"/>
        </w:rPr>
        <w:t>(Seminarski rad)</w:t>
      </w:r>
    </w:p>
    <w:p w:rsidR="009025F8" w:rsidRDefault="009025F8">
      <w:pPr>
        <w:spacing w:before="100" w:beforeAutospacing="1" w:after="100" w:afterAutospacing="1"/>
        <w:rPr>
          <w:rFonts w:eastAsia="Times New Roman"/>
          <w:sz w:val="24"/>
          <w:szCs w:val="24"/>
          <w:lang w:val="sr-Latn-BA"/>
        </w:rPr>
      </w:pPr>
    </w:p>
    <w:p w:rsidR="009025F8" w:rsidRDefault="009025F8">
      <w:pPr>
        <w:spacing w:before="100" w:beforeAutospacing="1" w:after="100" w:afterAutospacing="1"/>
        <w:rPr>
          <w:rFonts w:eastAsia="Times New Roman"/>
          <w:sz w:val="24"/>
          <w:szCs w:val="24"/>
          <w:lang w:val="sr-Latn-BA"/>
        </w:rPr>
      </w:pPr>
    </w:p>
    <w:p w:rsidR="009025F8" w:rsidRDefault="009025F8">
      <w:pPr>
        <w:spacing w:before="100" w:beforeAutospacing="1" w:after="100" w:afterAutospacing="1"/>
        <w:rPr>
          <w:rFonts w:eastAsia="Times New Roman"/>
          <w:sz w:val="24"/>
          <w:szCs w:val="24"/>
          <w:lang w:val="sr-Cyrl-RS"/>
        </w:rPr>
      </w:pPr>
    </w:p>
    <w:p w:rsidR="009025F8" w:rsidRDefault="00CC6C67">
      <w:pPr>
        <w:spacing w:before="100" w:beforeAutospacing="1" w:after="100" w:afterAutospacing="1"/>
        <w:rPr>
          <w:rFonts w:eastAsia="Times New Roman"/>
          <w:sz w:val="24"/>
          <w:szCs w:val="24"/>
          <w:lang w:val="sr-Latn-BA"/>
        </w:rPr>
      </w:pPr>
      <w:r>
        <w:rPr>
          <w:rFonts w:eastAsia="Times New Roman"/>
          <w:noProof/>
          <w:sz w:val="24"/>
          <w:szCs w:val="24"/>
        </w:rPr>
        <mc:AlternateContent>
          <mc:Choice Requires="wps">
            <w:drawing>
              <wp:anchor distT="0" distB="0" distL="114300" distR="114300" simplePos="0" relativeHeight="251661312" behindDoc="0" locked="0" layoutInCell="1" allowOverlap="1">
                <wp:simplePos x="0" y="0"/>
                <wp:positionH relativeFrom="margin">
                  <wp:posOffset>3816985</wp:posOffset>
                </wp:positionH>
                <wp:positionV relativeFrom="paragraph">
                  <wp:posOffset>64770</wp:posOffset>
                </wp:positionV>
                <wp:extent cx="1562100" cy="1019175"/>
                <wp:effectExtent l="4445" t="4445" r="14605" b="5080"/>
                <wp:wrapNone/>
                <wp:docPr id="4" name="Text Box 2"/>
                <wp:cNvGraphicFramePr/>
                <a:graphic xmlns:a="http://schemas.openxmlformats.org/drawingml/2006/main">
                  <a:graphicData uri="http://schemas.microsoft.com/office/word/2010/wordprocessingShape">
                    <wps:wsp>
                      <wps:cNvSpPr txBox="1"/>
                      <wps:spPr>
                        <a:xfrm>
                          <a:off x="0" y="0"/>
                          <a:ext cx="1562100" cy="1019175"/>
                        </a:xfrm>
                        <a:prstGeom prst="rect">
                          <a:avLst/>
                        </a:prstGeom>
                        <a:solidFill>
                          <a:sysClr val="window" lastClr="FFFFFF"/>
                        </a:solidFill>
                        <a:ln w="6350">
                          <a:solidFill>
                            <a:sysClr val="window" lastClr="FFFFFF"/>
                          </a:solidFill>
                        </a:ln>
                        <a:effectLst/>
                      </wps:spPr>
                      <wps:txbx>
                        <w:txbxContent>
                          <w:p w:rsidR="009025F8" w:rsidRDefault="00CC6C67">
                            <w:pPr>
                              <w:jc w:val="right"/>
                              <w:rPr>
                                <w:sz w:val="24"/>
                                <w:szCs w:val="24"/>
                              </w:rPr>
                            </w:pPr>
                            <w:r>
                              <w:rPr>
                                <w:sz w:val="24"/>
                                <w:szCs w:val="24"/>
                              </w:rPr>
                              <w:t>Student:</w:t>
                            </w:r>
                          </w:p>
                          <w:p w:rsidR="009025F8" w:rsidRDefault="00CC6C67">
                            <w:pPr>
                              <w:wordWrap w:val="0"/>
                              <w:jc w:val="right"/>
                              <w:rPr>
                                <w:sz w:val="24"/>
                                <w:szCs w:val="24"/>
                                <w:lang w:val="sr-Latn-RS"/>
                              </w:rPr>
                            </w:pPr>
                            <w:r>
                              <w:rPr>
                                <w:sz w:val="24"/>
                                <w:szCs w:val="24"/>
                                <w:lang w:val="sr-Latn-RS"/>
                              </w:rPr>
                              <w:tab/>
                              <w:t>Jelena Došen</w:t>
                            </w:r>
                          </w:p>
                          <w:p w:rsidR="009025F8" w:rsidRDefault="00CC6C67">
                            <w:pPr>
                              <w:jc w:val="right"/>
                              <w:rPr>
                                <w:sz w:val="24"/>
                                <w:szCs w:val="24"/>
                              </w:rPr>
                            </w:pPr>
                            <w:r>
                              <w:rPr>
                                <w:sz w:val="24"/>
                                <w:szCs w:val="24"/>
                              </w:rPr>
                              <w:t>EEB0</w:t>
                            </w:r>
                            <w:r>
                              <w:rPr>
                                <w:sz w:val="24"/>
                                <w:szCs w:val="24"/>
                                <w:lang w:val="sr-Latn-RS"/>
                              </w:rPr>
                              <w:t>32</w:t>
                            </w:r>
                            <w:r>
                              <w:rPr>
                                <w:sz w:val="24"/>
                                <w:szCs w:val="24"/>
                              </w:rPr>
                              <w:t>/20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0.55pt;margin-top:5.1pt;width:123pt;height:80.2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" fillcolor="window" strokecolor="window" strokeweight=".5pt">
                <v:textbox>
                  <w:txbxContent>
                    <w:p w:rsidR="009025F8" w:rsidRDefault="00CC6C67">
                      <w:pPr>
                        <w:jc w:val="right"/>
                        <w:rPr>
                          <w:sz w:val="24"/>
                          <w:szCs w:val="24"/>
                        </w:rPr>
                      </w:pPr>
                      <w:r>
                        <w:rPr>
                          <w:sz w:val="24"/>
                          <w:szCs w:val="24"/>
                        </w:rPr>
                        <w:t>Student:</w:t>
                      </w:r>
                    </w:p>
                    <w:p w:rsidR="009025F8" w:rsidRDefault="00CC6C67">
                      <w:pPr>
                        <w:wordWrap w:val="0"/>
                        <w:jc w:val="right"/>
                        <w:rPr>
                          <w:sz w:val="24"/>
                          <w:szCs w:val="24"/>
                          <w:lang w:val="sr-Latn-RS"/>
                        </w:rPr>
                      </w:pPr>
                      <w:r>
                        <w:rPr>
                          <w:sz w:val="24"/>
                          <w:szCs w:val="24"/>
                          <w:lang w:val="sr-Latn-RS"/>
                        </w:rPr>
                        <w:tab/>
                        <w:t>Jelena Došen</w:t>
                      </w:r>
                    </w:p>
                    <w:p w:rsidR="009025F8" w:rsidRDefault="00CC6C67">
                      <w:pPr>
                        <w:jc w:val="right"/>
                        <w:rPr>
                          <w:sz w:val="24"/>
                          <w:szCs w:val="24"/>
                        </w:rPr>
                      </w:pPr>
                      <w:r>
                        <w:rPr>
                          <w:sz w:val="24"/>
                          <w:szCs w:val="24"/>
                        </w:rPr>
                        <w:t>EEB0</w:t>
                      </w:r>
                      <w:r>
                        <w:rPr>
                          <w:sz w:val="24"/>
                          <w:szCs w:val="24"/>
                          <w:lang w:val="sr-Latn-RS"/>
                        </w:rPr>
                        <w:t>32</w:t>
                      </w:r>
                      <w:r>
                        <w:rPr>
                          <w:sz w:val="24"/>
                          <w:szCs w:val="24"/>
                        </w:rPr>
                        <w:t>/20</w:t>
                      </w:r>
                    </w:p>
                  </w:txbxContent>
                </v:textbox>
                <w10:wrap anchorx="margin"/>
              </v:shape>
            </w:pict>
          </mc:Fallback>
        </mc:AlternateContent>
      </w:r>
      <w:r>
        <w:rPr>
          <w:rFonts w:eastAsia="Times New Roman"/>
          <w:noProof/>
          <w:sz w:val="24"/>
          <w:szCs w:val="24"/>
        </w:rPr>
        <mc:AlternateContent>
          <mc:Choice Requires="wps">
            <w:drawing>
              <wp:anchor distT="0" distB="0" distL="114300" distR="114300" simplePos="0" relativeHeight="251660288" behindDoc="0" locked="0" layoutInCell="1" allowOverlap="1">
                <wp:simplePos x="0" y="0"/>
                <wp:positionH relativeFrom="margin">
                  <wp:posOffset>-40005</wp:posOffset>
                </wp:positionH>
                <wp:positionV relativeFrom="paragraph">
                  <wp:posOffset>80010</wp:posOffset>
                </wp:positionV>
                <wp:extent cx="2057400" cy="1059815"/>
                <wp:effectExtent l="4445" t="4445" r="14605" b="21590"/>
                <wp:wrapNone/>
                <wp:docPr id="5" name="Text Box 1"/>
                <wp:cNvGraphicFramePr/>
                <a:graphic xmlns:a="http://schemas.openxmlformats.org/drawingml/2006/main">
                  <a:graphicData uri="http://schemas.microsoft.com/office/word/2010/wordprocessingShape">
                    <wps:wsp>
                      <wps:cNvSpPr txBox="1"/>
                      <wps:spPr>
                        <a:xfrm>
                          <a:off x="0" y="0"/>
                          <a:ext cx="2057400" cy="1059815"/>
                        </a:xfrm>
                        <a:prstGeom prst="rect">
                          <a:avLst/>
                        </a:prstGeom>
                        <a:solidFill>
                          <a:sysClr val="window" lastClr="FFFFFF"/>
                        </a:solidFill>
                        <a:ln w="6350">
                          <a:solidFill>
                            <a:sysClr val="window" lastClr="FFFFFF"/>
                          </a:solidFill>
                        </a:ln>
                        <a:effectLst/>
                      </wps:spPr>
                      <wps:txbx>
                        <w:txbxContent>
                          <w:p w:rsidR="009025F8" w:rsidRDefault="00CC6C67">
                            <w:pPr>
                              <w:rPr>
                                <w:sz w:val="24"/>
                                <w:szCs w:val="24"/>
                                <w:lang w:val="sr-Cyrl-RS"/>
                              </w:rPr>
                            </w:pPr>
                            <w:r>
                              <w:rPr>
                                <w:sz w:val="24"/>
                                <w:szCs w:val="24"/>
                                <w:lang w:val="sr-Cyrl-RS"/>
                              </w:rPr>
                              <w:t>Mentor:</w:t>
                            </w:r>
                          </w:p>
                          <w:p w:rsidR="009025F8" w:rsidRDefault="00CC6C67">
                            <w:pPr>
                              <w:rPr>
                                <w:sz w:val="24"/>
                                <w:szCs w:val="24"/>
                                <w:lang w:val="sr-Latn-RS"/>
                              </w:rPr>
                            </w:pPr>
                            <w:r>
                              <w:rPr>
                                <w:sz w:val="24"/>
                                <w:szCs w:val="24"/>
                                <w:lang w:val="sr-Latn-RS"/>
                              </w:rPr>
                              <w:t>Dr Stanislav Zekić</w:t>
                            </w:r>
                          </w:p>
                          <w:p w:rsidR="009025F8" w:rsidRDefault="009025F8">
                            <w:pPr>
                              <w:rPr>
                                <w:sz w:val="24"/>
                                <w:szCs w:val="24"/>
                                <w:lang w:val="sr-Latn-RS"/>
                              </w:rPr>
                            </w:pPr>
                          </w:p>
                          <w:p w:rsidR="009025F8" w:rsidRDefault="00CC6C67">
                            <w:pPr>
                              <w:rPr>
                                <w:sz w:val="24"/>
                                <w:szCs w:val="24"/>
                                <w:lang w:val="sr-Latn-RS"/>
                              </w:rPr>
                            </w:pPr>
                            <w:r>
                              <w:rPr>
                                <w:sz w:val="24"/>
                                <w:szCs w:val="24"/>
                                <w:lang w:val="sr-Latn-RS"/>
                              </w:rPr>
                              <w:t xml:space="preserve">Asistent: </w:t>
                            </w:r>
                          </w:p>
                          <w:p w:rsidR="009025F8" w:rsidRDefault="00CC6C67">
                            <w:pPr>
                              <w:rPr>
                                <w:lang w:val="sr-Latn-RS"/>
                              </w:rPr>
                            </w:pPr>
                            <w:r>
                              <w:rPr>
                                <w:sz w:val="24"/>
                                <w:szCs w:val="24"/>
                                <w:lang w:val="sr-Latn-RS"/>
                              </w:rPr>
                              <w:t>Danilo Đokić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1" o:spid="_x0000_s1027" type="#_x0000_t202" style="position:absolute;left:0;text-align:left;margin-left:-3.15pt;margin-top:6.3pt;width:162pt;height:83.4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" fillcolor="window" strokecolor="window" strokeweight=".5pt">
                <v:textbox>
                  <w:txbxContent>
                    <w:p w:rsidR="009025F8" w:rsidRDefault="00CC6C67">
                      <w:pPr>
                        <w:rPr>
                          <w:sz w:val="24"/>
                          <w:szCs w:val="24"/>
                          <w:lang w:val="sr-Cyrl-RS"/>
                        </w:rPr>
                      </w:pPr>
                      <w:r>
                        <w:rPr>
                          <w:sz w:val="24"/>
                          <w:szCs w:val="24"/>
                          <w:lang w:val="sr-Cyrl-RS"/>
                        </w:rPr>
                        <w:t>Mentor:</w:t>
                      </w:r>
                    </w:p>
                    <w:p w:rsidR="009025F8" w:rsidRDefault="00CC6C67">
                      <w:pPr>
                        <w:rPr>
                          <w:sz w:val="24"/>
                          <w:szCs w:val="24"/>
                          <w:lang w:val="sr-Latn-RS"/>
                        </w:rPr>
                      </w:pPr>
                      <w:r>
                        <w:rPr>
                          <w:sz w:val="24"/>
                          <w:szCs w:val="24"/>
                          <w:lang w:val="sr-Latn-RS"/>
                        </w:rPr>
                        <w:t>Dr Stanislav Zekić</w:t>
                      </w:r>
                    </w:p>
                    <w:p w:rsidR="009025F8" w:rsidRDefault="009025F8">
                      <w:pPr>
                        <w:rPr>
                          <w:sz w:val="24"/>
                          <w:szCs w:val="24"/>
                          <w:lang w:val="sr-Latn-RS"/>
                        </w:rPr>
                      </w:pPr>
                    </w:p>
                    <w:p w:rsidR="009025F8" w:rsidRDefault="00CC6C67">
                      <w:pPr>
                        <w:rPr>
                          <w:sz w:val="24"/>
                          <w:szCs w:val="24"/>
                          <w:lang w:val="sr-Latn-RS"/>
                        </w:rPr>
                      </w:pPr>
                      <w:r>
                        <w:rPr>
                          <w:sz w:val="24"/>
                          <w:szCs w:val="24"/>
                          <w:lang w:val="sr-Latn-RS"/>
                        </w:rPr>
                        <w:t xml:space="preserve">Asistent: </w:t>
                      </w:r>
                    </w:p>
                    <w:p w:rsidR="009025F8" w:rsidRDefault="00CC6C67">
                      <w:pPr>
                        <w:rPr>
                          <w:lang w:val="sr-Latn-RS"/>
                        </w:rPr>
                      </w:pPr>
                      <w:r>
                        <w:rPr>
                          <w:sz w:val="24"/>
                          <w:szCs w:val="24"/>
                          <w:lang w:val="sr-Latn-RS"/>
                        </w:rPr>
                        <w:t>Danilo Đokić</w:t>
                      </w:r>
                    </w:p>
                  </w:txbxContent>
                </v:textbox>
                <w10:wrap anchorx="margin"/>
              </v:shape>
            </w:pict>
          </mc:Fallback>
        </mc:AlternateContent>
      </w:r>
    </w:p>
    <w:p w:rsidR="009025F8" w:rsidRDefault="009025F8">
      <w:pPr>
        <w:spacing w:before="100" w:beforeAutospacing="1" w:after="100" w:afterAutospacing="1"/>
        <w:rPr>
          <w:rFonts w:eastAsia="Times New Roman"/>
          <w:sz w:val="24"/>
          <w:szCs w:val="24"/>
          <w:lang w:val="sr-Latn-BA"/>
        </w:rPr>
      </w:pPr>
    </w:p>
    <w:p w:rsidR="009025F8" w:rsidRDefault="009025F8">
      <w:pPr>
        <w:spacing w:before="100" w:beforeAutospacing="1" w:after="100" w:afterAutospacing="1"/>
        <w:rPr>
          <w:rFonts w:eastAsia="Times New Roman"/>
          <w:sz w:val="24"/>
          <w:szCs w:val="24"/>
          <w:lang w:val="sr-Latn-BA"/>
        </w:rPr>
      </w:pPr>
    </w:p>
    <w:p w:rsidR="009025F8" w:rsidRDefault="009025F8">
      <w:pPr>
        <w:rPr>
          <w:rFonts w:eastAsia="Times New Roman"/>
          <w:sz w:val="24"/>
          <w:szCs w:val="24"/>
          <w:lang w:val="sr-Cyrl-RS"/>
        </w:rPr>
      </w:pPr>
    </w:p>
    <w:p w:rsidR="009025F8" w:rsidRDefault="009025F8">
      <w:pPr>
        <w:jc w:val="center"/>
      </w:pPr>
    </w:p>
    <w:p w:rsidR="009025F8" w:rsidRDefault="009025F8">
      <w:pPr>
        <w:jc w:val="center"/>
        <w:rPr>
          <w:sz w:val="24"/>
          <w:szCs w:val="24"/>
        </w:rPr>
      </w:pPr>
    </w:p>
    <w:p w:rsidR="009025F8" w:rsidRDefault="00CC6C67">
      <w:pPr>
        <w:jc w:val="center"/>
        <w:rPr>
          <w:sz w:val="24"/>
          <w:szCs w:val="24"/>
          <w:lang w:val="sr-Latn-RS"/>
        </w:rPr>
      </w:pPr>
      <w:r>
        <w:rPr>
          <w:sz w:val="24"/>
          <w:szCs w:val="24"/>
        </w:rPr>
        <w:t>Novi Sad, jun,</w:t>
      </w:r>
      <w:r>
        <w:rPr>
          <w:sz w:val="24"/>
          <w:szCs w:val="24"/>
          <w:lang w:val="sr-Latn-RS"/>
        </w:rPr>
        <w:t xml:space="preserve"> 2023. godine</w:t>
      </w:r>
    </w:p>
    <w:p w:rsidR="009025F8" w:rsidRDefault="009025F8">
      <w:pPr>
        <w:rPr>
          <w:lang w:val="sr-Latn-RS"/>
        </w:rPr>
      </w:pPr>
    </w:p>
    <w:sdt>
      <w:sdtPr>
        <w:rPr>
          <w:rFonts w:ascii="SimSun" w:hAnsi="SimSun"/>
          <w:b/>
          <w:bCs/>
          <w:sz w:val="28"/>
          <w:szCs w:val="28"/>
        </w:rPr>
        <w:id w:val="147459434"/>
        <w15:color w:val="DBDBDB"/>
        <w:docPartObj>
          <w:docPartGallery w:val="Table of Contents"/>
          <w:docPartUnique/>
        </w:docPartObj>
      </w:sdtPr>
      <w:sdtEndPr>
        <w:rPr>
          <w:rFonts w:ascii="Times New Roman" w:hAnsi="Times New Roman"/>
          <w:sz w:val="24"/>
          <w:szCs w:val="24"/>
        </w:rPr>
      </w:sdtEndPr>
      <w:sdtContent>
        <w:p w:rsidR="009025F8" w:rsidRDefault="00CC6C67">
          <w:pPr>
            <w:jc w:val="left"/>
            <w:rPr>
              <w:b/>
              <w:bCs/>
              <w:sz w:val="28"/>
              <w:szCs w:val="28"/>
              <w:lang w:val="sr-Latn-RS"/>
            </w:rPr>
          </w:pPr>
          <w:r>
            <w:rPr>
              <w:b/>
              <w:bCs/>
              <w:sz w:val="28"/>
              <w:szCs w:val="28"/>
              <w:lang w:val="sr-Latn-RS"/>
            </w:rPr>
            <w:t>Sadržaj:</w:t>
          </w:r>
        </w:p>
        <w:p w:rsidR="009025F8" w:rsidRDefault="009025F8">
          <w:pPr>
            <w:jc w:val="left"/>
            <w:rPr>
              <w:sz w:val="24"/>
              <w:szCs w:val="24"/>
              <w:lang w:val="sr-Latn-RS"/>
            </w:rPr>
          </w:pPr>
        </w:p>
        <w:p w:rsidR="009025F8" w:rsidRDefault="00CC6C67">
          <w:pPr>
            <w:pStyle w:val="WPSOffice1"/>
            <w:tabs>
              <w:tab w:val="right" w:leader="dot" w:pos="8306"/>
            </w:tabs>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TOC \o "1-1" \h \u </w:instrText>
          </w:r>
          <w:r>
            <w:rPr>
              <w:rFonts w:ascii="Times New Roman" w:hAnsi="Times New Roman" w:cs="Times New Roman"/>
              <w:sz w:val="24"/>
              <w:szCs w:val="24"/>
            </w:rPr>
            <w:fldChar w:fldCharType="separate"/>
          </w:r>
          <w:hyperlink w:anchor="_Toc26232" w:history="1">
            <w:r>
              <w:rPr>
                <w:rFonts w:ascii="Times New Roman" w:hAnsi="Times New Roman" w:cs="Times New Roman"/>
                <w:sz w:val="24"/>
                <w:szCs w:val="24"/>
                <w:lang w:val="sr-Latn-RS"/>
              </w:rPr>
              <w:t>UVOD</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_Toc26232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hyperlink>
        </w:p>
        <w:p w:rsidR="009025F8" w:rsidRDefault="009025F8">
          <w:pPr>
            <w:pStyle w:val="WPSOffice1"/>
            <w:tabs>
              <w:tab w:val="right" w:leader="dot" w:pos="8306"/>
            </w:tabs>
            <w:rPr>
              <w:rFonts w:ascii="Times New Roman" w:hAnsi="Times New Roman" w:cs="Times New Roman"/>
              <w:sz w:val="24"/>
              <w:szCs w:val="24"/>
            </w:rPr>
          </w:pPr>
        </w:p>
        <w:p w:rsidR="009025F8" w:rsidRDefault="004A54ED">
          <w:pPr>
            <w:pStyle w:val="WPSOffice1"/>
            <w:tabs>
              <w:tab w:val="right" w:leader="dot" w:pos="8306"/>
            </w:tabs>
            <w:rPr>
              <w:rFonts w:ascii="Times New Roman" w:hAnsi="Times New Roman" w:cs="Times New Roman"/>
              <w:sz w:val="24"/>
              <w:szCs w:val="24"/>
            </w:rPr>
          </w:pPr>
          <w:hyperlink w:anchor="_Toc23968" w:history="1">
            <w:r w:rsidR="00CC6C67">
              <w:rPr>
                <w:rFonts w:ascii="Times New Roman" w:hAnsi="Times New Roman" w:cs="Times New Roman"/>
                <w:sz w:val="24"/>
                <w:szCs w:val="24"/>
                <w:lang w:val="sr-Latn-RS"/>
              </w:rPr>
              <w:t>PREGLED ZAP (ZAJEDNIČKA AGRARNA POLITIKA) I NJENI CILJEVI</w:t>
            </w:r>
            <w:r w:rsidR="00CC6C67">
              <w:rPr>
                <w:rFonts w:ascii="Times New Roman" w:hAnsi="Times New Roman" w:cs="Times New Roman"/>
                <w:sz w:val="24"/>
                <w:szCs w:val="24"/>
              </w:rPr>
              <w:tab/>
            </w:r>
            <w:r w:rsidR="00CC6C67">
              <w:rPr>
                <w:rFonts w:ascii="Times New Roman" w:hAnsi="Times New Roman" w:cs="Times New Roman"/>
                <w:sz w:val="24"/>
                <w:szCs w:val="24"/>
              </w:rPr>
              <w:fldChar w:fldCharType="begin"/>
            </w:r>
            <w:r w:rsidR="00CC6C67">
              <w:rPr>
                <w:rFonts w:ascii="Times New Roman" w:hAnsi="Times New Roman" w:cs="Times New Roman"/>
                <w:sz w:val="24"/>
                <w:szCs w:val="24"/>
              </w:rPr>
              <w:instrText xml:space="preserve"> PAGEREF _Toc23968 \h </w:instrText>
            </w:r>
            <w:r w:rsidR="00CC6C67">
              <w:rPr>
                <w:rFonts w:ascii="Times New Roman" w:hAnsi="Times New Roman" w:cs="Times New Roman"/>
                <w:sz w:val="24"/>
                <w:szCs w:val="24"/>
              </w:rPr>
            </w:r>
            <w:r w:rsidR="00CC6C67">
              <w:rPr>
                <w:rFonts w:ascii="Times New Roman" w:hAnsi="Times New Roman" w:cs="Times New Roman"/>
                <w:sz w:val="24"/>
                <w:szCs w:val="24"/>
              </w:rPr>
              <w:fldChar w:fldCharType="separate"/>
            </w:r>
            <w:r w:rsidR="00CC6C67">
              <w:rPr>
                <w:rFonts w:ascii="Times New Roman" w:hAnsi="Times New Roman" w:cs="Times New Roman"/>
                <w:sz w:val="24"/>
                <w:szCs w:val="24"/>
              </w:rPr>
              <w:t>4</w:t>
            </w:r>
            <w:r w:rsidR="00CC6C67">
              <w:rPr>
                <w:rFonts w:ascii="Times New Roman" w:hAnsi="Times New Roman" w:cs="Times New Roman"/>
                <w:sz w:val="24"/>
                <w:szCs w:val="24"/>
              </w:rPr>
              <w:fldChar w:fldCharType="end"/>
            </w:r>
          </w:hyperlink>
        </w:p>
        <w:p w:rsidR="009025F8" w:rsidRDefault="009025F8">
          <w:pPr>
            <w:pStyle w:val="WPSOffice1"/>
            <w:tabs>
              <w:tab w:val="right" w:leader="dot" w:pos="8306"/>
            </w:tabs>
            <w:rPr>
              <w:rFonts w:ascii="Times New Roman" w:hAnsi="Times New Roman" w:cs="Times New Roman"/>
              <w:sz w:val="24"/>
              <w:szCs w:val="24"/>
            </w:rPr>
          </w:pPr>
        </w:p>
        <w:p w:rsidR="009025F8" w:rsidRDefault="004A54ED">
          <w:pPr>
            <w:pStyle w:val="WPSOffice1"/>
            <w:tabs>
              <w:tab w:val="right" w:leader="dot" w:pos="8306"/>
            </w:tabs>
            <w:rPr>
              <w:rFonts w:ascii="Times New Roman" w:hAnsi="Times New Roman" w:cs="Times New Roman"/>
              <w:sz w:val="24"/>
              <w:szCs w:val="24"/>
            </w:rPr>
          </w:pPr>
          <w:hyperlink w:anchor="_Toc29332" w:history="1">
            <w:r w:rsidR="00CC6C67">
              <w:rPr>
                <w:rFonts w:ascii="Times New Roman" w:hAnsi="Times New Roman" w:cs="Times New Roman"/>
                <w:sz w:val="24"/>
                <w:szCs w:val="24"/>
                <w:lang w:val="sr-Latn-RS"/>
              </w:rPr>
              <w:t>EVROPSKI FOND ZA SMERNICE I GARANCJE U POLJOPRIVREDI EAGGF</w:t>
            </w:r>
            <w:r w:rsidR="00CC6C67">
              <w:rPr>
                <w:rFonts w:ascii="Times New Roman" w:hAnsi="Times New Roman" w:cs="Times New Roman"/>
                <w:sz w:val="24"/>
                <w:szCs w:val="24"/>
              </w:rPr>
              <w:tab/>
            </w:r>
            <w:r w:rsidR="00CC6C67">
              <w:rPr>
                <w:rFonts w:ascii="Times New Roman" w:hAnsi="Times New Roman" w:cs="Times New Roman"/>
                <w:sz w:val="24"/>
                <w:szCs w:val="24"/>
              </w:rPr>
              <w:fldChar w:fldCharType="begin"/>
            </w:r>
            <w:r w:rsidR="00CC6C67">
              <w:rPr>
                <w:rFonts w:ascii="Times New Roman" w:hAnsi="Times New Roman" w:cs="Times New Roman"/>
                <w:sz w:val="24"/>
                <w:szCs w:val="24"/>
              </w:rPr>
              <w:instrText xml:space="preserve"> PAGEREF _Toc29332 \h </w:instrText>
            </w:r>
            <w:r w:rsidR="00CC6C67">
              <w:rPr>
                <w:rFonts w:ascii="Times New Roman" w:hAnsi="Times New Roman" w:cs="Times New Roman"/>
                <w:sz w:val="24"/>
                <w:szCs w:val="24"/>
              </w:rPr>
            </w:r>
            <w:r w:rsidR="00CC6C67">
              <w:rPr>
                <w:rFonts w:ascii="Times New Roman" w:hAnsi="Times New Roman" w:cs="Times New Roman"/>
                <w:sz w:val="24"/>
                <w:szCs w:val="24"/>
              </w:rPr>
              <w:fldChar w:fldCharType="separate"/>
            </w:r>
            <w:r w:rsidR="00CC6C67">
              <w:rPr>
                <w:rFonts w:ascii="Times New Roman" w:hAnsi="Times New Roman" w:cs="Times New Roman"/>
                <w:sz w:val="24"/>
                <w:szCs w:val="24"/>
              </w:rPr>
              <w:t>6</w:t>
            </w:r>
            <w:r w:rsidR="00CC6C67">
              <w:rPr>
                <w:rFonts w:ascii="Times New Roman" w:hAnsi="Times New Roman" w:cs="Times New Roman"/>
                <w:sz w:val="24"/>
                <w:szCs w:val="24"/>
              </w:rPr>
              <w:fldChar w:fldCharType="end"/>
            </w:r>
          </w:hyperlink>
        </w:p>
        <w:p w:rsidR="009025F8" w:rsidRDefault="009025F8">
          <w:pPr>
            <w:pStyle w:val="WPSOffice1"/>
            <w:tabs>
              <w:tab w:val="right" w:leader="dot" w:pos="8306"/>
            </w:tabs>
            <w:rPr>
              <w:rFonts w:ascii="Times New Roman" w:hAnsi="Times New Roman" w:cs="Times New Roman"/>
              <w:sz w:val="24"/>
              <w:szCs w:val="24"/>
            </w:rPr>
          </w:pPr>
        </w:p>
        <w:p w:rsidR="009025F8" w:rsidRDefault="004A54ED">
          <w:pPr>
            <w:pStyle w:val="WPSOffice1"/>
            <w:tabs>
              <w:tab w:val="right" w:leader="dot" w:pos="8306"/>
            </w:tabs>
            <w:rPr>
              <w:rFonts w:ascii="Times New Roman" w:hAnsi="Times New Roman" w:cs="Times New Roman"/>
              <w:sz w:val="24"/>
              <w:szCs w:val="24"/>
            </w:rPr>
          </w:pPr>
          <w:hyperlink w:anchor="_Toc12447" w:history="1">
            <w:r w:rsidR="00CC6C67">
              <w:rPr>
                <w:rFonts w:ascii="Times New Roman" w:hAnsi="Times New Roman" w:cs="Times New Roman"/>
                <w:sz w:val="24"/>
                <w:szCs w:val="24"/>
                <w:lang w:val="sr-Latn-RS"/>
              </w:rPr>
              <w:t>ZAJEDNIČKA AGRARNA POLITIKA U BUDŽETU EU ZA PERIOD 2021-2027. GODINE</w:t>
            </w:r>
            <w:r w:rsidR="00CC6C67">
              <w:rPr>
                <w:rFonts w:ascii="Times New Roman" w:hAnsi="Times New Roman" w:cs="Times New Roman"/>
                <w:sz w:val="24"/>
                <w:szCs w:val="24"/>
              </w:rPr>
              <w:tab/>
            </w:r>
            <w:r w:rsidR="00CC6C67">
              <w:rPr>
                <w:rFonts w:ascii="Times New Roman" w:hAnsi="Times New Roman" w:cs="Times New Roman"/>
                <w:sz w:val="24"/>
                <w:szCs w:val="24"/>
              </w:rPr>
              <w:fldChar w:fldCharType="begin"/>
            </w:r>
            <w:r w:rsidR="00CC6C67">
              <w:rPr>
                <w:rFonts w:ascii="Times New Roman" w:hAnsi="Times New Roman" w:cs="Times New Roman"/>
                <w:sz w:val="24"/>
                <w:szCs w:val="24"/>
              </w:rPr>
              <w:instrText xml:space="preserve"> PAGEREF _Toc12447 \h </w:instrText>
            </w:r>
            <w:r w:rsidR="00CC6C67">
              <w:rPr>
                <w:rFonts w:ascii="Times New Roman" w:hAnsi="Times New Roman" w:cs="Times New Roman"/>
                <w:sz w:val="24"/>
                <w:szCs w:val="24"/>
              </w:rPr>
            </w:r>
            <w:r w:rsidR="00CC6C67">
              <w:rPr>
                <w:rFonts w:ascii="Times New Roman" w:hAnsi="Times New Roman" w:cs="Times New Roman"/>
                <w:sz w:val="24"/>
                <w:szCs w:val="24"/>
              </w:rPr>
              <w:fldChar w:fldCharType="separate"/>
            </w:r>
            <w:r w:rsidR="00CC6C67">
              <w:rPr>
                <w:rFonts w:ascii="Times New Roman" w:hAnsi="Times New Roman" w:cs="Times New Roman"/>
                <w:sz w:val="24"/>
                <w:szCs w:val="24"/>
              </w:rPr>
              <w:t>7</w:t>
            </w:r>
            <w:r w:rsidR="00CC6C67">
              <w:rPr>
                <w:rFonts w:ascii="Times New Roman" w:hAnsi="Times New Roman" w:cs="Times New Roman"/>
                <w:sz w:val="24"/>
                <w:szCs w:val="24"/>
              </w:rPr>
              <w:fldChar w:fldCharType="end"/>
            </w:r>
          </w:hyperlink>
        </w:p>
        <w:p w:rsidR="009025F8" w:rsidRDefault="009025F8">
          <w:pPr>
            <w:pStyle w:val="WPSOffice1"/>
            <w:tabs>
              <w:tab w:val="right" w:leader="dot" w:pos="8306"/>
            </w:tabs>
            <w:rPr>
              <w:rFonts w:ascii="Times New Roman" w:hAnsi="Times New Roman" w:cs="Times New Roman"/>
              <w:sz w:val="24"/>
              <w:szCs w:val="24"/>
            </w:rPr>
          </w:pPr>
        </w:p>
        <w:p w:rsidR="009025F8" w:rsidRDefault="00CC6C67">
          <w:pPr>
            <w:pStyle w:val="WPSOffice1"/>
            <w:tabs>
              <w:tab w:val="right" w:leader="dot" w:pos="8306"/>
            </w:tabs>
            <w:rPr>
              <w:rFonts w:ascii="Times New Roman" w:hAnsi="Times New Roman" w:cs="Times New Roman"/>
              <w:sz w:val="24"/>
              <w:szCs w:val="24"/>
              <w:lang w:val="sr-Latn-RS"/>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\l _Toc31543 </w:instrText>
          </w:r>
          <w:r>
            <w:rPr>
              <w:rFonts w:ascii="Times New Roman" w:hAnsi="Times New Roman" w:cs="Times New Roman"/>
              <w:sz w:val="24"/>
              <w:szCs w:val="24"/>
            </w:rPr>
            <w:fldChar w:fldCharType="separate"/>
          </w:r>
          <w:r>
            <w:rPr>
              <w:rFonts w:ascii="Times New Roman" w:hAnsi="Times New Roman" w:cs="Times New Roman"/>
              <w:sz w:val="24"/>
              <w:szCs w:val="24"/>
              <w:lang w:val="sr-Latn-RS"/>
            </w:rPr>
            <w:t xml:space="preserve">RAZDVAJANJE AGRARNE OD RURALNE KOMPONETE - OSVRT NA </w:t>
          </w:r>
        </w:p>
        <w:p w:rsidR="009025F8" w:rsidRDefault="00CC6C67">
          <w:pPr>
            <w:pStyle w:val="WPSOffice1"/>
            <w:tabs>
              <w:tab w:val="right" w:leader="dot" w:pos="8306"/>
            </w:tabs>
            <w:rPr>
              <w:rFonts w:ascii="Times New Roman" w:hAnsi="Times New Roman" w:cs="Times New Roman"/>
              <w:sz w:val="24"/>
              <w:szCs w:val="24"/>
            </w:rPr>
          </w:pPr>
          <w:r>
            <w:rPr>
              <w:rFonts w:ascii="Times New Roman" w:hAnsi="Times New Roman" w:cs="Times New Roman"/>
              <w:sz w:val="24"/>
              <w:szCs w:val="24"/>
              <w:lang w:val="sr-Latn-RS"/>
            </w:rPr>
            <w:t>REFORME ZAJEDNIČKE AGRARNE POLITIKE</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_Toc31543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8</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rsidR="009025F8" w:rsidRDefault="009025F8">
          <w:pPr>
            <w:pStyle w:val="WPSOffice1"/>
            <w:tabs>
              <w:tab w:val="right" w:leader="dot" w:pos="8306"/>
            </w:tabs>
            <w:rPr>
              <w:rFonts w:ascii="Times New Roman" w:hAnsi="Times New Roman" w:cs="Times New Roman"/>
              <w:sz w:val="24"/>
              <w:szCs w:val="24"/>
            </w:rPr>
          </w:pPr>
        </w:p>
        <w:p w:rsidR="009025F8" w:rsidRDefault="004A54ED">
          <w:pPr>
            <w:pStyle w:val="WPSOffice1"/>
            <w:tabs>
              <w:tab w:val="right" w:leader="dot" w:pos="8306"/>
            </w:tabs>
            <w:rPr>
              <w:rFonts w:ascii="Times New Roman" w:hAnsi="Times New Roman" w:cs="Times New Roman"/>
              <w:sz w:val="24"/>
              <w:szCs w:val="24"/>
            </w:rPr>
          </w:pPr>
          <w:hyperlink w:anchor="_Toc23288" w:history="1">
            <w:r w:rsidR="00CC6C67">
              <w:rPr>
                <w:rFonts w:ascii="Times New Roman" w:hAnsi="Times New Roman" w:cs="Times New Roman"/>
                <w:sz w:val="24"/>
                <w:szCs w:val="24"/>
                <w:lang w:val="sr-Latn-RS"/>
              </w:rPr>
              <w:t>MEKŠERIJEVA REFORMA</w:t>
            </w:r>
            <w:r w:rsidR="00CC6C67">
              <w:rPr>
                <w:rFonts w:ascii="Times New Roman" w:hAnsi="Times New Roman" w:cs="Times New Roman"/>
                <w:sz w:val="24"/>
                <w:szCs w:val="24"/>
              </w:rPr>
              <w:tab/>
            </w:r>
            <w:r w:rsidR="00CC6C67">
              <w:rPr>
                <w:rFonts w:ascii="Times New Roman" w:hAnsi="Times New Roman" w:cs="Times New Roman"/>
                <w:sz w:val="24"/>
                <w:szCs w:val="24"/>
              </w:rPr>
              <w:fldChar w:fldCharType="begin"/>
            </w:r>
            <w:r w:rsidR="00CC6C67">
              <w:rPr>
                <w:rFonts w:ascii="Times New Roman" w:hAnsi="Times New Roman" w:cs="Times New Roman"/>
                <w:sz w:val="24"/>
                <w:szCs w:val="24"/>
              </w:rPr>
              <w:instrText xml:space="preserve"> PAGEREF _Toc23288 \h </w:instrText>
            </w:r>
            <w:r w:rsidR="00CC6C67">
              <w:rPr>
                <w:rFonts w:ascii="Times New Roman" w:hAnsi="Times New Roman" w:cs="Times New Roman"/>
                <w:sz w:val="24"/>
                <w:szCs w:val="24"/>
              </w:rPr>
            </w:r>
            <w:r w:rsidR="00CC6C67">
              <w:rPr>
                <w:rFonts w:ascii="Times New Roman" w:hAnsi="Times New Roman" w:cs="Times New Roman"/>
                <w:sz w:val="24"/>
                <w:szCs w:val="24"/>
              </w:rPr>
              <w:fldChar w:fldCharType="separate"/>
            </w:r>
            <w:r w:rsidR="00CC6C67">
              <w:rPr>
                <w:rFonts w:ascii="Times New Roman" w:hAnsi="Times New Roman" w:cs="Times New Roman"/>
                <w:sz w:val="24"/>
                <w:szCs w:val="24"/>
              </w:rPr>
              <w:t>10</w:t>
            </w:r>
            <w:r w:rsidR="00CC6C67">
              <w:rPr>
                <w:rFonts w:ascii="Times New Roman" w:hAnsi="Times New Roman" w:cs="Times New Roman"/>
                <w:sz w:val="24"/>
                <w:szCs w:val="24"/>
              </w:rPr>
              <w:fldChar w:fldCharType="end"/>
            </w:r>
          </w:hyperlink>
        </w:p>
        <w:p w:rsidR="009025F8" w:rsidRDefault="009025F8">
          <w:pPr>
            <w:pStyle w:val="WPSOffice1"/>
            <w:tabs>
              <w:tab w:val="right" w:leader="dot" w:pos="8306"/>
            </w:tabs>
            <w:rPr>
              <w:rFonts w:ascii="Times New Roman" w:hAnsi="Times New Roman" w:cs="Times New Roman"/>
              <w:sz w:val="24"/>
              <w:szCs w:val="24"/>
            </w:rPr>
          </w:pPr>
        </w:p>
        <w:p w:rsidR="009025F8" w:rsidRDefault="004A54ED">
          <w:pPr>
            <w:pStyle w:val="WPSOffice1"/>
            <w:tabs>
              <w:tab w:val="right" w:leader="dot" w:pos="8306"/>
            </w:tabs>
            <w:rPr>
              <w:rFonts w:ascii="Times New Roman" w:hAnsi="Times New Roman" w:cs="Times New Roman"/>
              <w:sz w:val="24"/>
              <w:szCs w:val="24"/>
            </w:rPr>
          </w:pPr>
          <w:hyperlink w:anchor="_Toc21514" w:history="1">
            <w:r w:rsidR="00CC6C67">
              <w:rPr>
                <w:rFonts w:ascii="Times New Roman" w:hAnsi="Times New Roman" w:cs="Times New Roman"/>
                <w:sz w:val="24"/>
                <w:szCs w:val="24"/>
                <w:lang w:val="sr-Latn-RS"/>
              </w:rPr>
              <w:t>LITERATURA</w:t>
            </w:r>
            <w:r w:rsidR="00CC6C67">
              <w:rPr>
                <w:rFonts w:ascii="Times New Roman" w:hAnsi="Times New Roman" w:cs="Times New Roman"/>
                <w:sz w:val="24"/>
                <w:szCs w:val="24"/>
              </w:rPr>
              <w:tab/>
            </w:r>
            <w:r w:rsidR="00CC6C67">
              <w:rPr>
                <w:rFonts w:ascii="Times New Roman" w:hAnsi="Times New Roman" w:cs="Times New Roman"/>
                <w:sz w:val="24"/>
                <w:szCs w:val="24"/>
              </w:rPr>
              <w:fldChar w:fldCharType="begin"/>
            </w:r>
            <w:r w:rsidR="00CC6C67">
              <w:rPr>
                <w:rFonts w:ascii="Times New Roman" w:hAnsi="Times New Roman" w:cs="Times New Roman"/>
                <w:sz w:val="24"/>
                <w:szCs w:val="24"/>
              </w:rPr>
              <w:instrText xml:space="preserve"> PAGEREF _Toc21514 \h </w:instrText>
            </w:r>
            <w:r w:rsidR="00CC6C67">
              <w:rPr>
                <w:rFonts w:ascii="Times New Roman" w:hAnsi="Times New Roman" w:cs="Times New Roman"/>
                <w:sz w:val="24"/>
                <w:szCs w:val="24"/>
              </w:rPr>
            </w:r>
            <w:r w:rsidR="00CC6C67">
              <w:rPr>
                <w:rFonts w:ascii="Times New Roman" w:hAnsi="Times New Roman" w:cs="Times New Roman"/>
                <w:sz w:val="24"/>
                <w:szCs w:val="24"/>
              </w:rPr>
              <w:fldChar w:fldCharType="separate"/>
            </w:r>
            <w:r w:rsidR="00CC6C67">
              <w:rPr>
                <w:rFonts w:ascii="Times New Roman" w:hAnsi="Times New Roman" w:cs="Times New Roman"/>
                <w:sz w:val="24"/>
                <w:szCs w:val="24"/>
              </w:rPr>
              <w:t>13</w:t>
            </w:r>
            <w:r w:rsidR="00CC6C67">
              <w:rPr>
                <w:rFonts w:ascii="Times New Roman" w:hAnsi="Times New Roman" w:cs="Times New Roman"/>
                <w:sz w:val="24"/>
                <w:szCs w:val="24"/>
              </w:rPr>
              <w:fldChar w:fldCharType="end"/>
            </w:r>
          </w:hyperlink>
        </w:p>
        <w:p w:rsidR="009025F8" w:rsidRDefault="00CC6C67">
          <w:pPr>
            <w:jc w:val="left"/>
            <w:rPr>
              <w:sz w:val="24"/>
              <w:szCs w:val="24"/>
            </w:rPr>
          </w:pPr>
          <w:r>
            <w:rPr>
              <w:sz w:val="24"/>
              <w:szCs w:val="24"/>
            </w:rPr>
            <w:fldChar w:fldCharType="end"/>
          </w:r>
        </w:p>
      </w:sdtContent>
    </w:sdt>
    <w:p w:rsidR="009025F8" w:rsidRDefault="00CC6C67">
      <w:pPr>
        <w:rPr>
          <w:sz w:val="24"/>
          <w:szCs w:val="24"/>
          <w:lang w:val="sr-Latn-RS"/>
        </w:rPr>
      </w:pPr>
      <w:bookmarkStart w:id="1" w:name="_Toc26232"/>
      <w:r>
        <w:rPr>
          <w:sz w:val="24"/>
          <w:szCs w:val="24"/>
          <w:lang w:val="sr-Latn-RS"/>
        </w:rPr>
        <w:br w:type="page"/>
      </w:r>
    </w:p>
    <w:p w:rsidR="009025F8" w:rsidRDefault="00CC6C67">
      <w:pPr>
        <w:pStyle w:val="Heading1"/>
        <w:rPr>
          <w:rFonts w:ascii="Calibri" w:eastAsia="Calibri" w:hAnsi="Calibri"/>
          <w:szCs w:val="24"/>
          <w:lang w:val="sr-Latn-RS"/>
        </w:rPr>
      </w:pPr>
      <w:r>
        <w:rPr>
          <w:lang w:val="sr-Latn-RS"/>
        </w:rPr>
        <w:lastRenderedPageBreak/>
        <w:t>UVOD</w:t>
      </w:r>
      <w:bookmarkEnd w:id="1"/>
    </w:p>
    <w:p w:rsidR="009025F8" w:rsidRDefault="00CC6C67" w:rsidP="00FE3154">
      <w:pPr>
        <w:spacing w:line="288" w:lineRule="auto"/>
        <w:rPr>
          <w:rFonts w:eastAsia="Calibri"/>
          <w:sz w:val="24"/>
          <w:szCs w:val="24"/>
          <w:lang w:val="sr-Latn-RS"/>
        </w:rPr>
      </w:pPr>
      <w:r>
        <w:rPr>
          <w:rFonts w:eastAsia="Calibri"/>
          <w:sz w:val="24"/>
          <w:szCs w:val="24"/>
          <w:lang w:val="sr-Latn-RS"/>
        </w:rPr>
        <w:t>Zajednička agrarna politika (ZAP) Evropske unije predstavlja ključan instrument koji uređuje poljoprivrednu proizvodnju, ruralni razvoj i održivost u zemljama članicama. ZAP je osnovana 1962. godine, i bila je kreirana tako da obezbedi sigurnost i stabilnost pri snabdevanju hranom, takođe i da podrži poljoprivredne proizvođače i podstakne razvoj ruralnih područja. Međutim postoji sve veći pritisak za reformisanjem ZAP-a kako bi se što bolje i preciznije odgovorilo na aktuelne potrebe i izazove. Zajednička agrarna politika se od početka, kroz svoju višedecenijsku evoluciju pa sve do danas smatra jednom od najznačajnijih oblasti. ZAP je omogućila racionalnost u proizvodnji poljoprivrednih proizvoda, stabilno tržište i rast dohotka poljoprivrednih proizvođača. Međutim, u isto vreme su se pojavile i negativne posledice primene mehanizma Zajedničke agrarne politike. Finansiranje prodaje viškova poljoprivrednih proizvoda i izvozne subvencije dovele su do naglog rasta budžetskih troškova. S obzirom da je visina isplaćenih subvencija bila u neposrednoj srazmeri sa obimom proizvodnje, dolazilo je do povećanja razlika u visini dohotka između pojedinih kategorija poljoprivrednih gazdinstava. ZAP takođe predstavlja složen sistem mera kreiran u dva stuba: Direktna podrška, usmerena ka unapređivanju poljoprivredne proizvodnje i politika ruralnog razvoja. Takođe je bitno još napomenuti i glavne ciljeve zajedničke agrarne politike: sigurnost snabdevanja hranom, održivost razvoja poljoprivrede, konkurentnost, ravnoteža teritorijalnog razvoja. Cilj izrade ovog seminarskog rada jeste da analiziramo potrebu za reformisanjem zajedničke agrarne politike zemalja članica i istražiti pristupe koji bi mogli doprineti poboljšanju trenutnog sistema. Putem detaljnog istraživanja i analiziranja stanja u kojem se nalazi ZAP, sagledaćemo ključne nedostatke, kao i promene u kontekstu poljoprivredne proizvodnje, tržišta i očekivanja društva koje ukazuju na potrebu za reformom. Kroz ovaj rad, nadam se da ću vam pružiti uvid u aktuelno stanje zajedničke agrarne politike Evropske unije, kao i sagledati različite perspektive i moguće pristupe reformisanju.</w:t>
      </w:r>
    </w:p>
    <w:p w:rsidR="009025F8" w:rsidRDefault="00CC6C67">
      <w:pPr>
        <w:rPr>
          <w:rFonts w:eastAsia="Calibri"/>
          <w:sz w:val="24"/>
          <w:szCs w:val="24"/>
          <w:lang w:val="sr-Latn-RS"/>
        </w:rPr>
      </w:pPr>
      <w:r>
        <w:rPr>
          <w:rFonts w:eastAsia="Calibri"/>
          <w:sz w:val="24"/>
          <w:szCs w:val="24"/>
          <w:lang w:val="sr-Latn-RS"/>
        </w:rPr>
        <w:br w:type="page"/>
      </w:r>
    </w:p>
    <w:p w:rsidR="009025F8" w:rsidRDefault="00CC6C67">
      <w:pPr>
        <w:pStyle w:val="Heading1"/>
        <w:rPr>
          <w:lang w:val="sr-Latn-RS"/>
        </w:rPr>
      </w:pPr>
      <w:bookmarkStart w:id="2" w:name="_Toc23968"/>
      <w:r>
        <w:rPr>
          <w:lang w:val="sr-Latn-RS"/>
        </w:rPr>
        <w:lastRenderedPageBreak/>
        <w:t>PREGLED ZAP (ZAJEDNIČKA AGRARNA POLITIKA) I NJENI CILJEVI</w:t>
      </w:r>
      <w:bookmarkEnd w:id="2"/>
    </w:p>
    <w:p w:rsidR="009025F8" w:rsidRDefault="00CC6C67">
      <w:pPr>
        <w:spacing w:line="288" w:lineRule="auto"/>
        <w:rPr>
          <w:rFonts w:eastAsia="Calibri"/>
          <w:sz w:val="24"/>
          <w:szCs w:val="24"/>
          <w:lang w:val="sr-Latn-RS"/>
        </w:rPr>
      </w:pPr>
      <w:r>
        <w:rPr>
          <w:rFonts w:eastAsia="Calibri"/>
          <w:sz w:val="24"/>
          <w:szCs w:val="24"/>
          <w:lang w:val="sr-Latn-RS"/>
        </w:rPr>
        <w:t>Iako se agrarna politika smatra mladom naučnom disciplinom, određeni dokazi o postojanju držvane intervencije u oblasti poljoprivrede dolaze iz antičkog doba. Istorijski izvori upućuju na to da u starom veku, na području rimskog čarstva osim seljaka i njihovih poseda, značajnu ulogu su imali i veliki posedi sa robovskom radnom snagom. U takvim uslovima, dolazi do rasta socijalnih tenzija i čestih pobuna siromašnih seljaka i robova. U srdnjem veku i kasnijim razdobljima menja se privredna struktura, tako da sve veći značaj dobija tzv. gradska privreda, a poljoprivreda i selo gube svoj prvobitni oblik. Iako su poljoprivrednici i dalje proizvodili hranu za gradsko stanovništvo, poljoprivreda je imala sve manje učešće u podršci države. Prilikom zabrane razvoja trgovine i zanatstva na selu, selu su nametnuta i druga ograničenja i zabrane koja čine određene elemente ekonomske politike. Jedno od tih ograničenja bila je zabrana izvoza žita i drugih poljoprivrednih proizvoda, uz istovremenu liberalizaciju uvoza, što je negativno uticalo na opstanak poljoprivrednih gazdinstava. U 16. veku dolazi do uspostavljanja većih država na području Evrope. Novostvorene države su donosile i odgovarajuće zakonske propise koji su bili obavezujući. Deo tih propisa odnosio se i na oblast poljoprivrede, posebno za oblasti uvoza i izvoza agrarnih proizvoda, korišćenje zemljišta, šuma, ribolova. Upravo se ovaj period i doneti zakoni smatraju počecima konstituisanja agrarne politike. S obzirom da je većina donetih mera bila štetna za siromašne seljake, vlasnike malih poseda, postepeno počinju da se uvode i određene mere koje su im davale izvesne olakšice. Neke od tada donetih mera odnosile su se na izdavanje dozvola za obavljanje zanatskih usluga, kao i na izvesni stepen liberalizacije izvoza, posebno žita. Pojava fiziokratskih  ideja i učenja u 18. veku donela je i novi preokret u korist poljoprivrede i sela.</w:t>
      </w:r>
      <w:r>
        <w:rPr>
          <w:rStyle w:val="FootnoteReference"/>
          <w:rFonts w:eastAsia="Calibri"/>
          <w:sz w:val="24"/>
          <w:szCs w:val="24"/>
          <w:lang w:val="sr-Latn-RS"/>
        </w:rPr>
        <w:footnoteReference w:id="1"/>
      </w:r>
      <w:r>
        <w:rPr>
          <w:rFonts w:eastAsia="Calibri"/>
          <w:sz w:val="24"/>
          <w:szCs w:val="24"/>
          <w:lang w:val="sr-Latn-RS"/>
        </w:rPr>
        <w:t xml:space="preserve"> Proces industrijalizacije imao je dvojak uticaj na oblast agrara. Sa jedne strane, razvoj novih i usavršavanje već postojećih sredstava za proizvodnju u velikoj meri je doprineo unapređenju oblasti poljoprivrede. Napredak gradske privrede i razvoj gradova doveo je do širenja tržišta i rasta tražnje za poljoprivrednim proizvodima. Navedeni faktori delovali su stimulativno na razvoj poljoprivrede i sela. Činjenica da se veći deo radne snage iz poljoprivrede seli u industriju, usled masovnog osiromašavanja seljaka, značajno je smanjen broj radnika u agraru. Ostali poljoprivrednici bili su suočeni sa potrebama za dodatnim izvorima finansiranja, iz tog razloga dolazi do pojave poljoprivrednih kredita i zajmova. </w:t>
      </w:r>
      <w:r>
        <w:rPr>
          <w:rFonts w:eastAsia="Calibri"/>
          <w:sz w:val="24"/>
          <w:szCs w:val="24"/>
          <w:lang w:val="sr-Latn-RS"/>
        </w:rPr>
        <w:lastRenderedPageBreak/>
        <w:t>Poljoprivrednici su se zbog nedostatka finansijskih sredstava za tekuću ili investicionu potrošnju, zaduživali kod zelenaša. Država je svoj doprinos u rešavanju ovih problema dala uvođenjem specijalizovanih poljoprivrednih kreditnih zadruga. Tokom sastanaka 1999. u Berlinu usvojen je predlog Agende 2000 uz poziv Komisiji da 2002. provede preispitivanje u sredini programskog razdoblja kako bi se ocenio učinak poslednje reforme ZPP-a. To je preispitivanje na kraju postala značajna reforma ZPP-a, a imala je 4 osnovna cilja: dodatno povezati evropsku poljoprivredu sa svetskim tržištima , pripremiti se za proširenje Evropske unije, bolje odgovoriti na nove zahteve javnosti u pogledu očuvanja okoliša i kvaliteta proizvoda( javnost je bila uznemirena zbog brojnih kriza u području zdravsta) te dodatno uskladiti ZPP sa zahtevima trećih zemalja (Evropski parlament, 2020.). Usmerena je na unutrašnje nedostatke ZPP-a koje su sve manje prihvatljive javnosti i razmatra se preko uticaja nove runde pregovora u sklopu WTO-a. Nacrt konačnog sporazuma obuhvata domaću potporu, pristup tržištima i izvoznu konkurentnost.</w:t>
      </w:r>
      <w:r>
        <w:rPr>
          <w:rStyle w:val="FootnoteReference"/>
          <w:rFonts w:eastAsia="Calibri"/>
          <w:sz w:val="24"/>
          <w:szCs w:val="24"/>
          <w:lang w:val="sr-Latn-RS"/>
        </w:rPr>
        <w:footnoteReference w:id="2"/>
      </w:r>
      <w:r>
        <w:rPr>
          <w:rFonts w:eastAsia="Calibri"/>
          <w:sz w:val="24"/>
          <w:szCs w:val="24"/>
          <w:lang w:val="sr-Latn-RS"/>
        </w:rPr>
        <w:t xml:space="preserve"> Tržištno cenovna politika</w:t>
      </w:r>
      <w:r>
        <w:rPr>
          <w:rStyle w:val="FootnoteReference"/>
          <w:rFonts w:eastAsia="Calibri"/>
          <w:sz w:val="24"/>
          <w:szCs w:val="24"/>
          <w:lang w:val="sr-Latn-RS"/>
        </w:rPr>
        <w:footnoteReference w:id="3"/>
      </w:r>
      <w:r>
        <w:rPr>
          <w:rFonts w:eastAsia="Calibri"/>
          <w:sz w:val="24"/>
          <w:szCs w:val="24"/>
          <w:lang w:val="sr-Latn-RS"/>
        </w:rPr>
        <w:t xml:space="preserve"> ovaj put nije bila glavni pokretač reforme. U pojedinim sektorim (pšenica) se počinje izvoziti bez subvencija, ali mlečni sektor još ne izvozi bez podsticaja. Distribucija direktnih plaćanja je nejednaka, s najvećom koncentracijom u najkonkurentnijim sektorima i regionima, zanemarujući tradicionalne i mešane proizvodne sisteme.</w:t>
      </w:r>
      <w:r>
        <w:rPr>
          <w:rStyle w:val="FootnoteReference"/>
          <w:rFonts w:eastAsia="Calibri"/>
          <w:sz w:val="24"/>
          <w:szCs w:val="24"/>
          <w:lang w:val="sr-Latn-RS"/>
        </w:rPr>
        <w:footnoteReference w:id="4"/>
      </w:r>
      <w:r>
        <w:rPr>
          <w:rFonts w:eastAsia="Calibri"/>
          <w:sz w:val="24"/>
          <w:szCs w:val="24"/>
          <w:lang w:val="sr-Latn-RS"/>
        </w:rPr>
        <w:t xml:space="preserve"> Zbog toga, glavno pitanje reforme postaje dohodovna podrška, njena ekonomska efikasnost i socijalna pravednost. Pravo novih članica na direktna plaćanja nije predviđeno Agendom 2000, međutim kaok bi zaključila pregovore, EU je morala pristati na isplatu direktnih plaćanja. Plaćanja moraju biti razdvojena od proizvodnje, a naglasak stavljen na ruralni razvoj i prehrambenu sigurnost. U novembru 2001. godine započinje nova runda trgovinskih pregovora u Dohi</w:t>
      </w:r>
      <w:r>
        <w:rPr>
          <w:rStyle w:val="FootnoteReference"/>
          <w:rFonts w:eastAsia="Calibri"/>
          <w:sz w:val="24"/>
          <w:szCs w:val="24"/>
          <w:lang w:val="sr-Latn-RS"/>
        </w:rPr>
        <w:footnoteReference w:id="5"/>
      </w:r>
      <w:r>
        <w:rPr>
          <w:rFonts w:eastAsia="Calibri"/>
          <w:sz w:val="24"/>
          <w:szCs w:val="24"/>
          <w:lang w:val="sr-Latn-RS"/>
        </w:rPr>
        <w:t xml:space="preserve"> gde je EU i dalje izložena pritisku zbog  direktnih plaćanja. Neželeći ponovo biti krivac neuspeha ministarske konferencije održane u Cancunu, 2003. i trgovinskih pregovora, EU iskorištava prethodno dogovorenu reviziju Agende 2000 i pretvara je u reformu.</w:t>
      </w:r>
    </w:p>
    <w:p w:rsidR="009025F8" w:rsidRDefault="00CC6C67">
      <w:pPr>
        <w:rPr>
          <w:rFonts w:eastAsia="Calibri"/>
          <w:sz w:val="24"/>
          <w:szCs w:val="24"/>
          <w:lang w:val="sr-Latn-RS"/>
        </w:rPr>
      </w:pPr>
      <w:r>
        <w:rPr>
          <w:rFonts w:eastAsia="Calibri"/>
          <w:sz w:val="24"/>
          <w:szCs w:val="24"/>
          <w:lang w:val="sr-Latn-RS"/>
        </w:rPr>
        <w:br w:type="page"/>
      </w:r>
    </w:p>
    <w:p w:rsidR="009025F8" w:rsidRDefault="00CC6C67">
      <w:pPr>
        <w:pStyle w:val="Heading1"/>
        <w:rPr>
          <w:lang w:val="sr-Latn-RS"/>
        </w:rPr>
      </w:pPr>
      <w:bookmarkStart w:id="3" w:name="_Toc9155"/>
      <w:bookmarkStart w:id="4" w:name="_Toc29332"/>
      <w:r>
        <w:rPr>
          <w:lang w:val="sr-Latn-RS"/>
        </w:rPr>
        <w:lastRenderedPageBreak/>
        <w:t>EVROPSKI FOND ZA SMERNICE I GARANCJE U POLJOPRIVREDI EAGGF</w:t>
      </w:r>
      <w:bookmarkEnd w:id="3"/>
      <w:bookmarkEnd w:id="4"/>
    </w:p>
    <w:p w:rsidR="009025F8" w:rsidRDefault="00CC6C67">
      <w:pPr>
        <w:spacing w:line="288" w:lineRule="auto"/>
        <w:rPr>
          <w:rFonts w:eastAsia="Calibri"/>
          <w:sz w:val="24"/>
          <w:szCs w:val="24"/>
          <w:lang w:val="sr-Latn-RS"/>
        </w:rPr>
      </w:pPr>
      <w:r>
        <w:rPr>
          <w:rFonts w:eastAsia="Calibri"/>
          <w:sz w:val="24"/>
          <w:szCs w:val="24"/>
          <w:lang w:val="sr-Latn-RS"/>
        </w:rPr>
        <w:t>Zajednička poljoprivredna politika Evropske Unije je u periodu 1962-2007. godine finansirana preko Evropskog fonda za smernice i garancije u poljoprivredi, odnosno ovaj fond se skraćeno zove EAGGF. Fond prdstavlja deo opšteg budžeta Evropske unije. Na samom početku razvoja sredstva iz fonda su se koristila najpre za subvencionisanje domaće poljoprivredne proizvodnje i finasiranje izvoza poljoprivrednih proizvoda u treće zemlje. U prvim godinama rada ZAP angažovala je 80% ukupnog budžeta zajednice, došlo je do smanjenja tog procenta 1980-ih godina, da bi se 1992. god. učšće troškova zadržalo na 57%.</w:t>
      </w:r>
      <w:r>
        <w:rPr>
          <w:rStyle w:val="FootnoteReference"/>
          <w:rFonts w:eastAsia="Calibri"/>
          <w:sz w:val="24"/>
          <w:szCs w:val="24"/>
          <w:lang w:val="sr-Latn-RS"/>
        </w:rPr>
        <w:footnoteReference w:id="6"/>
      </w:r>
      <w:r>
        <w:rPr>
          <w:rFonts w:eastAsia="Calibri"/>
          <w:sz w:val="24"/>
          <w:szCs w:val="24"/>
          <w:lang w:val="sr-Latn-RS"/>
        </w:rPr>
        <w:t xml:space="preserve"> Kako su troškovi bili visoki, za potrebe finansiranja zajedničke agrarne politike oformljen je Evropski fond za garancije i smernice u poljoprivredi. Troškove finansiranja zemlje članice su snosile na zajedničkoj osnovi,dok su se sredstva fonda prikupljala na osnovnu zajedničkih ulaganja zemalja članica, naplaćenih dažbina na uvoz robe iz trećih zemalja i drugo. Do 52005. godine fond se sastojao iz dva dela: usmeravajući i garancijski. Garancijski deo fonda je u početku činio 95% ukupnih sredstava i koristio se za finansiranje zajedničkih uređenih tržišta,odnosno za finansiranje tržišno cenovne politike koju vodi EU, i za direktna plaćanja poljoprivrednim proizvođačima.Najveći deo agrarnogv budžeta trošen je preko garancijskog dela fonda. Garancijski fond je na godišnjem nivou trošio oko 92% budžeta EAGGF, što predstavlja od 39,5 do 47,9 milijardi evra godišnje. Suprotno garancijskom, usmeravajući deo fonda je koristio  od 1,3 do 5,5 milijardi evra godišnje, što predstavlja manji deo u odnosu na garancijski.</w:t>
      </w:r>
      <w:r>
        <w:rPr>
          <w:rStyle w:val="FootnoteReference"/>
          <w:rFonts w:eastAsia="Calibri"/>
          <w:sz w:val="24"/>
          <w:szCs w:val="24"/>
          <w:lang w:val="sr-Latn-RS"/>
        </w:rPr>
        <w:footnoteReference w:id="7"/>
      </w:r>
      <w:r>
        <w:rPr>
          <w:rFonts w:eastAsia="Calibri"/>
          <w:sz w:val="24"/>
          <w:szCs w:val="24"/>
          <w:lang w:val="sr-Latn-RS"/>
        </w:rPr>
        <w:t xml:space="preserve"> Predlog Evropske komisije za period od 2021. do 2027. godine, koji se odnosi na finansijski okvir ZAP je taj da se 365 milijardi eura za navedeni fond, izdvoji za mere agrarne politike. 80% tih sredstava biće usmereno na direktnu podršku poljoprivrednicima i tržišne mere , što će biti realizovano  preko Evropskog fonda za garantovanje u poljoprivredi (EAGF). Ostali deo koji iznosi 20% sredstava biće usmeren na podršku ruralnom razvoju kroz odgovarajući fond (EAFRD).</w:t>
      </w:r>
    </w:p>
    <w:p w:rsidR="009025F8" w:rsidRDefault="00CC6C67">
      <w:pPr>
        <w:rPr>
          <w:rFonts w:eastAsia="Calibri"/>
          <w:sz w:val="24"/>
          <w:szCs w:val="24"/>
          <w:lang w:val="sr-Latn-RS"/>
        </w:rPr>
      </w:pPr>
      <w:r>
        <w:rPr>
          <w:rFonts w:eastAsia="Calibri"/>
          <w:sz w:val="24"/>
          <w:szCs w:val="24"/>
          <w:lang w:val="sr-Latn-RS"/>
        </w:rPr>
        <w:br w:type="page"/>
      </w:r>
    </w:p>
    <w:p w:rsidR="009025F8" w:rsidRDefault="00CC6C67">
      <w:pPr>
        <w:pStyle w:val="Heading1"/>
        <w:rPr>
          <w:rFonts w:eastAsia="Calibri"/>
          <w:szCs w:val="24"/>
          <w:lang w:val="sr-Latn-RS"/>
        </w:rPr>
      </w:pPr>
      <w:bookmarkStart w:id="5" w:name="_Toc23948"/>
      <w:bookmarkStart w:id="6" w:name="_Toc12447"/>
      <w:r>
        <w:rPr>
          <w:lang w:val="sr-Latn-RS"/>
        </w:rPr>
        <w:lastRenderedPageBreak/>
        <w:t>ZAJEDNIČKA AGRARNA POLITIKA U BUDŽETU EU ZA PERIOD 2021-2027. GODINE</w:t>
      </w:r>
      <w:bookmarkEnd w:id="5"/>
      <w:bookmarkEnd w:id="6"/>
      <w:r>
        <w:rPr>
          <w:lang w:val="sr-Latn-RS"/>
        </w:rPr>
        <w:t xml:space="preserve"> </w:t>
      </w:r>
    </w:p>
    <w:p w:rsidR="009025F8" w:rsidRDefault="00CC6C67">
      <w:pPr>
        <w:spacing w:line="288" w:lineRule="auto"/>
        <w:rPr>
          <w:sz w:val="24"/>
          <w:szCs w:val="24"/>
          <w:lang w:val="sr-Latn-RS"/>
        </w:rPr>
      </w:pPr>
      <w:r>
        <w:rPr>
          <w:sz w:val="24"/>
          <w:szCs w:val="24"/>
          <w:lang w:val="sr-Latn-RS"/>
        </w:rPr>
        <w:t>Evropska unija menja svoje prioritete u oblasti agrarne politike, u skladu sa novim izazovima kao što su negativni efekti klimatskih promena i promene na tržištu hrane koji se nalaze pred svetskom poljoprivredom. Evropska unija je definisala devet ciljeva svoje Zajedničke agrarne politike za period od 2021. do 2027. godine.</w:t>
      </w:r>
      <w:r>
        <w:rPr>
          <w:rStyle w:val="FootnoteReference"/>
          <w:sz w:val="24"/>
          <w:szCs w:val="24"/>
          <w:lang w:val="sr-Latn-RS"/>
        </w:rPr>
        <w:footnoteReference w:id="8"/>
      </w:r>
      <w:r>
        <w:rPr>
          <w:sz w:val="24"/>
          <w:szCs w:val="24"/>
          <w:lang w:val="sr-Latn-RS"/>
        </w:rPr>
        <w:t xml:space="preserve"> Ciljevi: </w:t>
      </w:r>
    </w:p>
    <w:p w:rsidR="009025F8" w:rsidRDefault="009025F8">
      <w:pPr>
        <w:spacing w:line="288" w:lineRule="auto"/>
        <w:rPr>
          <w:sz w:val="24"/>
          <w:szCs w:val="24"/>
          <w:lang w:val="sr-Latn-RS"/>
        </w:rPr>
      </w:pPr>
    </w:p>
    <w:p w:rsidR="009025F8" w:rsidRDefault="00CC6C67">
      <w:pPr>
        <w:numPr>
          <w:ilvl w:val="0"/>
          <w:numId w:val="1"/>
        </w:numPr>
        <w:spacing w:line="288" w:lineRule="auto"/>
        <w:rPr>
          <w:sz w:val="24"/>
          <w:szCs w:val="24"/>
          <w:lang w:val="sr-Latn-RS"/>
        </w:rPr>
      </w:pPr>
      <w:r>
        <w:rPr>
          <w:sz w:val="24"/>
          <w:szCs w:val="24"/>
          <w:lang w:val="sr-Latn-RS"/>
        </w:rPr>
        <w:t>Obezbeđenje održivog dohotka poljoprivrednih gazdinstava i sigurnog snabdevanja hranom;</w:t>
      </w:r>
    </w:p>
    <w:p w:rsidR="009025F8" w:rsidRDefault="00CC6C67">
      <w:pPr>
        <w:numPr>
          <w:ilvl w:val="0"/>
          <w:numId w:val="1"/>
        </w:numPr>
        <w:spacing w:line="288" w:lineRule="auto"/>
        <w:rPr>
          <w:sz w:val="24"/>
          <w:szCs w:val="24"/>
          <w:lang w:val="sr-Latn-RS"/>
        </w:rPr>
      </w:pPr>
      <w:r>
        <w:rPr>
          <w:sz w:val="24"/>
          <w:szCs w:val="24"/>
          <w:lang w:val="sr-Latn-RS"/>
        </w:rPr>
        <w:t>Obezbeđenje veće tržišne orijentacije proizvođača i rasta konkurentnosti zasnovanog na istraživanju, novim tehnologijama i digitalizaciji;</w:t>
      </w:r>
    </w:p>
    <w:p w:rsidR="009025F8" w:rsidRDefault="00CC6C67">
      <w:pPr>
        <w:numPr>
          <w:ilvl w:val="0"/>
          <w:numId w:val="1"/>
        </w:numPr>
        <w:spacing w:line="288" w:lineRule="auto"/>
        <w:rPr>
          <w:sz w:val="24"/>
          <w:szCs w:val="24"/>
          <w:lang w:val="sr-Latn-RS"/>
        </w:rPr>
      </w:pPr>
      <w:r>
        <w:rPr>
          <w:sz w:val="24"/>
          <w:szCs w:val="24"/>
          <w:lang w:val="sr-Latn-RS"/>
        </w:rPr>
        <w:t>Poboljšanje položaja poljoprivrednih proizvođača u prehrambenom lancu;</w:t>
      </w:r>
    </w:p>
    <w:p w:rsidR="009025F8" w:rsidRDefault="00CC6C67">
      <w:pPr>
        <w:numPr>
          <w:ilvl w:val="0"/>
          <w:numId w:val="1"/>
        </w:numPr>
        <w:spacing w:line="288" w:lineRule="auto"/>
        <w:rPr>
          <w:sz w:val="24"/>
          <w:szCs w:val="24"/>
          <w:lang w:val="sr-Latn-RS"/>
        </w:rPr>
      </w:pPr>
      <w:r>
        <w:rPr>
          <w:sz w:val="24"/>
          <w:szCs w:val="24"/>
          <w:lang w:val="sr-Latn-RS"/>
        </w:rPr>
        <w:t>Stvaranje  doprinosa ublažavanju  i prilagođavanju klimatskim promenama, kao i održivoj energiji;</w:t>
      </w:r>
    </w:p>
    <w:p w:rsidR="009025F8" w:rsidRDefault="00CC6C67">
      <w:pPr>
        <w:numPr>
          <w:ilvl w:val="0"/>
          <w:numId w:val="1"/>
        </w:numPr>
        <w:spacing w:line="288" w:lineRule="auto"/>
        <w:rPr>
          <w:sz w:val="24"/>
          <w:szCs w:val="24"/>
          <w:lang w:val="sr-Latn-RS"/>
        </w:rPr>
      </w:pPr>
      <w:r>
        <w:rPr>
          <w:sz w:val="24"/>
          <w:szCs w:val="24"/>
          <w:lang w:val="sr-Latn-RS"/>
        </w:rPr>
        <w:t>Podsticanje održivog razvoja na osnovu efikasnog upravljanja prirodnim resursima kao što su vazduh, voda, zemljište;</w:t>
      </w:r>
    </w:p>
    <w:p w:rsidR="009025F8" w:rsidRDefault="00CC6C67">
      <w:pPr>
        <w:numPr>
          <w:ilvl w:val="0"/>
          <w:numId w:val="1"/>
        </w:numPr>
        <w:spacing w:line="288" w:lineRule="auto"/>
        <w:rPr>
          <w:sz w:val="24"/>
          <w:szCs w:val="24"/>
          <w:lang w:val="sr-Latn-RS"/>
        </w:rPr>
      </w:pPr>
      <w:r>
        <w:rPr>
          <w:sz w:val="24"/>
          <w:szCs w:val="24"/>
          <w:lang w:val="sr-Latn-RS"/>
        </w:rPr>
        <w:t>Stvaranje doprinosa zaštiti biodiverziteta na osnovu očuvanja ekosistema i zaštite pejzaža i staništa;</w:t>
      </w:r>
    </w:p>
    <w:p w:rsidR="009025F8" w:rsidRDefault="00CC6C67">
      <w:pPr>
        <w:numPr>
          <w:ilvl w:val="0"/>
          <w:numId w:val="1"/>
        </w:numPr>
        <w:spacing w:line="288" w:lineRule="auto"/>
        <w:rPr>
          <w:sz w:val="24"/>
          <w:szCs w:val="24"/>
          <w:lang w:val="sr-Latn-RS"/>
        </w:rPr>
      </w:pPr>
      <w:r>
        <w:rPr>
          <w:sz w:val="24"/>
          <w:szCs w:val="24"/>
          <w:lang w:val="sr-Latn-RS"/>
        </w:rPr>
        <w:t>Motivacija mladih poljoprivrednika i stvaranje uslova za poslovanje u ruralnim područjima;</w:t>
      </w:r>
    </w:p>
    <w:p w:rsidR="009025F8" w:rsidRDefault="00CC6C67">
      <w:pPr>
        <w:numPr>
          <w:ilvl w:val="0"/>
          <w:numId w:val="1"/>
        </w:numPr>
        <w:spacing w:line="288" w:lineRule="auto"/>
        <w:rPr>
          <w:sz w:val="24"/>
          <w:szCs w:val="24"/>
          <w:lang w:val="sr-Latn-RS"/>
        </w:rPr>
      </w:pPr>
      <w:r>
        <w:rPr>
          <w:sz w:val="24"/>
          <w:szCs w:val="24"/>
          <w:lang w:val="sr-Latn-RS"/>
        </w:rPr>
        <w:t>Reklamiranje zapošljavanja, rasta, socijalne inkluzije i lokalnog razvoja ruralnih područja, uključujući održivo siromaštvo i bioekonomiju.</w:t>
      </w:r>
    </w:p>
    <w:p w:rsidR="009025F8" w:rsidRDefault="00CC6C67">
      <w:pPr>
        <w:numPr>
          <w:ilvl w:val="0"/>
          <w:numId w:val="1"/>
        </w:numPr>
        <w:spacing w:line="288" w:lineRule="auto"/>
        <w:rPr>
          <w:sz w:val="24"/>
          <w:szCs w:val="24"/>
          <w:lang w:val="sr-Latn-RS"/>
        </w:rPr>
      </w:pPr>
      <w:r>
        <w:rPr>
          <w:sz w:val="24"/>
          <w:szCs w:val="24"/>
          <w:lang w:val="sr-Latn-RS"/>
        </w:rPr>
        <w:t>Ispunjavanje zahteva društva za zdravstveno bezbednom hranom, i pružanje punog doprinosa dobrobiti domaćih životinja</w:t>
      </w:r>
    </w:p>
    <w:p w:rsidR="009025F8" w:rsidRDefault="009025F8">
      <w:pPr>
        <w:spacing w:line="288" w:lineRule="auto"/>
        <w:rPr>
          <w:lang w:val="sr-Latn-RS"/>
        </w:rPr>
      </w:pPr>
    </w:p>
    <w:p w:rsidR="009025F8" w:rsidRDefault="00CC6C67">
      <w:pPr>
        <w:spacing w:line="288" w:lineRule="auto"/>
        <w:rPr>
          <w:sz w:val="24"/>
          <w:szCs w:val="24"/>
          <w:lang w:val="sr-Latn-RS"/>
        </w:rPr>
      </w:pPr>
      <w:r>
        <w:rPr>
          <w:sz w:val="24"/>
          <w:szCs w:val="24"/>
          <w:lang w:val="sr-Latn-RS"/>
        </w:rPr>
        <w:t>Predlog Evropske komisije za period od 2021. do 2027. godine, koji se odnosi na finansijski okvir ZAP je taj da se za naveden period izdvoji 365 milijardi eura za mere agrarne politike. U odnosu na prethodni period od 2014. do 2020. godine ukupna sredstva podrške se smanjuju za 15%.(Tabela 1)</w:t>
      </w:r>
    </w:p>
    <w:p w:rsidR="009025F8" w:rsidRDefault="009025F8">
      <w:pPr>
        <w:spacing w:line="288" w:lineRule="auto"/>
        <w:rPr>
          <w:sz w:val="24"/>
          <w:szCs w:val="24"/>
          <w:lang w:val="sr-Latn-RS"/>
        </w:rPr>
      </w:pPr>
    </w:p>
    <w:p w:rsidR="009025F8" w:rsidRDefault="009025F8">
      <w:pPr>
        <w:spacing w:line="288" w:lineRule="auto"/>
        <w:rPr>
          <w:sz w:val="24"/>
          <w:szCs w:val="24"/>
          <w:lang w:val="sr-Latn-RS"/>
        </w:rPr>
      </w:pPr>
    </w:p>
    <w:p w:rsidR="009025F8" w:rsidRDefault="009025F8">
      <w:pPr>
        <w:spacing w:line="288" w:lineRule="auto"/>
        <w:rPr>
          <w:sz w:val="24"/>
          <w:szCs w:val="24"/>
          <w:lang w:val="sr-Latn-RS"/>
        </w:rPr>
      </w:pPr>
    </w:p>
    <w:p w:rsidR="009025F8" w:rsidRDefault="009025F8">
      <w:pPr>
        <w:spacing w:line="288" w:lineRule="auto"/>
        <w:rPr>
          <w:sz w:val="24"/>
          <w:szCs w:val="24"/>
          <w:lang w:val="sr-Latn-RS"/>
        </w:rPr>
      </w:pPr>
    </w:p>
    <w:p w:rsidR="009025F8" w:rsidRDefault="009025F8">
      <w:pPr>
        <w:spacing w:line="288" w:lineRule="auto"/>
        <w:rPr>
          <w:sz w:val="24"/>
          <w:szCs w:val="24"/>
          <w:lang w:val="sr-Latn-RS"/>
        </w:rPr>
      </w:pPr>
    </w:p>
    <w:p w:rsidR="009025F8" w:rsidRDefault="009025F8">
      <w:pPr>
        <w:spacing w:line="288" w:lineRule="auto"/>
        <w:jc w:val="center"/>
        <w:rPr>
          <w:lang w:val="sr-Latn-RS"/>
        </w:rPr>
      </w:pPr>
    </w:p>
    <w:tbl>
      <w:tblPr>
        <w:tblStyle w:val="TableGrid"/>
        <w:tblW w:w="0" w:type="auto"/>
        <w:tblLook w:val="04A0" w:firstRow="1" w:lastRow="0" w:firstColumn="1" w:lastColumn="0" w:noHBand="0" w:noVBand="1"/>
      </w:tblPr>
      <w:tblGrid>
        <w:gridCol w:w="2547"/>
        <w:gridCol w:w="1692"/>
        <w:gridCol w:w="2160"/>
        <w:gridCol w:w="2123"/>
      </w:tblGrid>
      <w:tr w:rsidR="009025F8">
        <w:tc>
          <w:tcPr>
            <w:tcW w:w="2693" w:type="dxa"/>
            <w:vAlign w:val="center"/>
          </w:tcPr>
          <w:p w:rsidR="009025F8" w:rsidRDefault="00CC6C67">
            <w:pPr>
              <w:spacing w:line="288" w:lineRule="auto"/>
              <w:jc w:val="center"/>
              <w:rPr>
                <w:lang w:val="sr-Latn-RS"/>
              </w:rPr>
            </w:pPr>
            <w:r>
              <w:rPr>
                <w:lang w:val="sr-Latn-RS"/>
              </w:rPr>
              <w:t>ALOKACIJA CAP PODRŠKE</w:t>
            </w:r>
          </w:p>
        </w:tc>
        <w:tc>
          <w:tcPr>
            <w:tcW w:w="1735" w:type="dxa"/>
            <w:vAlign w:val="center"/>
          </w:tcPr>
          <w:p w:rsidR="009025F8" w:rsidRDefault="00CC6C67">
            <w:pPr>
              <w:spacing w:line="288" w:lineRule="auto"/>
              <w:jc w:val="center"/>
              <w:rPr>
                <w:lang w:val="sr-Latn-RS"/>
              </w:rPr>
            </w:pPr>
            <w:r>
              <w:rPr>
                <w:lang w:val="sr-Latn-RS"/>
              </w:rPr>
              <w:t>IZNOS PODRŠKE(u milionima eura)</w:t>
            </w:r>
          </w:p>
        </w:tc>
        <w:tc>
          <w:tcPr>
            <w:tcW w:w="2214" w:type="dxa"/>
            <w:vAlign w:val="center"/>
          </w:tcPr>
          <w:p w:rsidR="009025F8" w:rsidRDefault="00CC6C67">
            <w:pPr>
              <w:spacing w:line="288" w:lineRule="auto"/>
              <w:jc w:val="center"/>
              <w:rPr>
                <w:lang w:val="sr-Latn-RS"/>
              </w:rPr>
            </w:pPr>
            <w:r>
              <w:rPr>
                <w:lang w:val="sr-Latn-RS"/>
              </w:rPr>
              <w:t>UDEO U UKUPNIM SREDSTVIMA(u %)</w:t>
            </w:r>
          </w:p>
        </w:tc>
        <w:tc>
          <w:tcPr>
            <w:tcW w:w="2214" w:type="dxa"/>
            <w:vAlign w:val="center"/>
          </w:tcPr>
          <w:p w:rsidR="009025F8" w:rsidRDefault="00CC6C67">
            <w:pPr>
              <w:spacing w:line="288" w:lineRule="auto"/>
              <w:jc w:val="center"/>
              <w:rPr>
                <w:lang w:val="sr-Latn-RS"/>
              </w:rPr>
            </w:pPr>
            <w:r>
              <w:rPr>
                <w:lang w:val="sr-Latn-RS"/>
              </w:rPr>
              <w:t>SMANJENJE OBIMA PODRŠKE(u %) EU27 2014-2020/EU27 2021-2027</w:t>
            </w:r>
          </w:p>
        </w:tc>
      </w:tr>
      <w:tr w:rsidR="009025F8">
        <w:tc>
          <w:tcPr>
            <w:tcW w:w="2693" w:type="dxa"/>
            <w:vAlign w:val="center"/>
          </w:tcPr>
          <w:p w:rsidR="009025F8" w:rsidRDefault="00CC6C67">
            <w:pPr>
              <w:spacing w:line="288" w:lineRule="auto"/>
              <w:jc w:val="center"/>
              <w:rPr>
                <w:lang w:val="sr-Latn-RS"/>
              </w:rPr>
            </w:pPr>
            <w:r>
              <w:rPr>
                <w:lang w:val="sr-Latn-RS"/>
              </w:rPr>
              <w:t>Agrarna politika- ukupno</w:t>
            </w:r>
          </w:p>
        </w:tc>
        <w:tc>
          <w:tcPr>
            <w:tcW w:w="1735" w:type="dxa"/>
            <w:vAlign w:val="center"/>
          </w:tcPr>
          <w:p w:rsidR="009025F8" w:rsidRDefault="00CC6C67">
            <w:pPr>
              <w:spacing w:line="288" w:lineRule="auto"/>
              <w:jc w:val="center"/>
              <w:rPr>
                <w:lang w:val="sr-Latn-RS"/>
              </w:rPr>
            </w:pPr>
            <w:r>
              <w:rPr>
                <w:lang w:val="sr-Latn-RS"/>
              </w:rPr>
              <w:t>365.006</w:t>
            </w:r>
          </w:p>
        </w:tc>
        <w:tc>
          <w:tcPr>
            <w:tcW w:w="2214" w:type="dxa"/>
            <w:vAlign w:val="center"/>
          </w:tcPr>
          <w:p w:rsidR="009025F8" w:rsidRDefault="00CC6C67">
            <w:pPr>
              <w:spacing w:line="288" w:lineRule="auto"/>
              <w:jc w:val="center"/>
              <w:rPr>
                <w:lang w:val="sr-Latn-RS"/>
              </w:rPr>
            </w:pPr>
            <w:r>
              <w:rPr>
                <w:lang w:val="sr-Latn-RS"/>
              </w:rPr>
              <w:t>100</w:t>
            </w:r>
          </w:p>
        </w:tc>
        <w:tc>
          <w:tcPr>
            <w:tcW w:w="2214" w:type="dxa"/>
            <w:vAlign w:val="center"/>
          </w:tcPr>
          <w:p w:rsidR="009025F8" w:rsidRDefault="00CC6C67">
            <w:pPr>
              <w:spacing w:line="288" w:lineRule="auto"/>
              <w:jc w:val="center"/>
              <w:rPr>
                <w:lang w:val="sr-Latn-RS"/>
              </w:rPr>
            </w:pPr>
            <w:r>
              <w:rPr>
                <w:lang w:val="sr-Latn-RS"/>
              </w:rPr>
              <w:t>-15</w:t>
            </w:r>
          </w:p>
        </w:tc>
      </w:tr>
      <w:tr w:rsidR="009025F8">
        <w:tc>
          <w:tcPr>
            <w:tcW w:w="2693" w:type="dxa"/>
            <w:vAlign w:val="center"/>
          </w:tcPr>
          <w:p w:rsidR="009025F8" w:rsidRDefault="00CC6C67">
            <w:pPr>
              <w:spacing w:line="288" w:lineRule="auto"/>
              <w:jc w:val="center"/>
              <w:rPr>
                <w:lang w:val="sr-Latn-RS"/>
              </w:rPr>
            </w:pPr>
            <w:r>
              <w:rPr>
                <w:lang w:val="sr-Latn-RS"/>
              </w:rPr>
              <w:t>Prvi stub CAP- fond EAGF</w:t>
            </w:r>
          </w:p>
        </w:tc>
        <w:tc>
          <w:tcPr>
            <w:tcW w:w="1735" w:type="dxa"/>
            <w:vAlign w:val="center"/>
          </w:tcPr>
          <w:p w:rsidR="009025F8" w:rsidRDefault="00CC6C67">
            <w:pPr>
              <w:spacing w:line="288" w:lineRule="auto"/>
              <w:jc w:val="center"/>
              <w:rPr>
                <w:lang w:val="sr-Latn-RS"/>
              </w:rPr>
            </w:pPr>
            <w:r>
              <w:rPr>
                <w:lang w:val="sr-Latn-RS"/>
              </w:rPr>
              <w:t>286.195</w:t>
            </w:r>
          </w:p>
        </w:tc>
        <w:tc>
          <w:tcPr>
            <w:tcW w:w="2214" w:type="dxa"/>
            <w:vAlign w:val="center"/>
          </w:tcPr>
          <w:p w:rsidR="009025F8" w:rsidRDefault="00CC6C67">
            <w:pPr>
              <w:spacing w:line="288" w:lineRule="auto"/>
              <w:jc w:val="center"/>
              <w:rPr>
                <w:lang w:val="sr-Latn-RS"/>
              </w:rPr>
            </w:pPr>
            <w:r>
              <w:rPr>
                <w:lang w:val="sr-Latn-RS"/>
              </w:rPr>
              <w:t>80</w:t>
            </w:r>
          </w:p>
        </w:tc>
        <w:tc>
          <w:tcPr>
            <w:tcW w:w="2214" w:type="dxa"/>
            <w:vAlign w:val="center"/>
          </w:tcPr>
          <w:p w:rsidR="009025F8" w:rsidRDefault="00CC6C67">
            <w:pPr>
              <w:spacing w:line="288" w:lineRule="auto"/>
              <w:jc w:val="center"/>
              <w:rPr>
                <w:lang w:val="sr-Latn-RS"/>
              </w:rPr>
            </w:pPr>
            <w:r>
              <w:rPr>
                <w:lang w:val="sr-Latn-RS"/>
              </w:rPr>
              <w:t>-11</w:t>
            </w:r>
          </w:p>
        </w:tc>
      </w:tr>
      <w:tr w:rsidR="009025F8">
        <w:tc>
          <w:tcPr>
            <w:tcW w:w="2693" w:type="dxa"/>
            <w:vAlign w:val="center"/>
          </w:tcPr>
          <w:p w:rsidR="009025F8" w:rsidRDefault="00CC6C67">
            <w:pPr>
              <w:spacing w:line="288" w:lineRule="auto"/>
              <w:jc w:val="center"/>
              <w:rPr>
                <w:lang w:val="sr-Latn-RS"/>
              </w:rPr>
            </w:pPr>
            <w:r>
              <w:rPr>
                <w:lang w:val="sr-Latn-RS"/>
              </w:rPr>
              <w:t>Drugi stub CAP - fond EAFRD</w:t>
            </w:r>
          </w:p>
        </w:tc>
        <w:tc>
          <w:tcPr>
            <w:tcW w:w="1735" w:type="dxa"/>
            <w:vAlign w:val="center"/>
          </w:tcPr>
          <w:p w:rsidR="009025F8" w:rsidRDefault="00CC6C67">
            <w:pPr>
              <w:spacing w:line="288" w:lineRule="auto"/>
              <w:jc w:val="center"/>
              <w:rPr>
                <w:lang w:val="sr-Latn-RS"/>
              </w:rPr>
            </w:pPr>
            <w:r>
              <w:rPr>
                <w:lang w:val="sr-Latn-RS"/>
              </w:rPr>
              <w:t>78.811</w:t>
            </w:r>
          </w:p>
        </w:tc>
        <w:tc>
          <w:tcPr>
            <w:tcW w:w="2214" w:type="dxa"/>
            <w:vAlign w:val="center"/>
          </w:tcPr>
          <w:p w:rsidR="009025F8" w:rsidRDefault="00CC6C67">
            <w:pPr>
              <w:spacing w:line="288" w:lineRule="auto"/>
              <w:jc w:val="center"/>
              <w:rPr>
                <w:lang w:val="sr-Latn-RS"/>
              </w:rPr>
            </w:pPr>
            <w:r>
              <w:rPr>
                <w:lang w:val="sr-Latn-RS"/>
              </w:rPr>
              <w:t>20</w:t>
            </w:r>
          </w:p>
        </w:tc>
        <w:tc>
          <w:tcPr>
            <w:tcW w:w="2214" w:type="dxa"/>
            <w:vAlign w:val="center"/>
          </w:tcPr>
          <w:p w:rsidR="009025F8" w:rsidRDefault="00CC6C67">
            <w:pPr>
              <w:spacing w:line="288" w:lineRule="auto"/>
              <w:jc w:val="center"/>
              <w:rPr>
                <w:lang w:val="sr-Latn-RS"/>
              </w:rPr>
            </w:pPr>
            <w:r>
              <w:rPr>
                <w:lang w:val="sr-Latn-RS"/>
              </w:rPr>
              <w:t>-28</w:t>
            </w:r>
          </w:p>
        </w:tc>
      </w:tr>
    </w:tbl>
    <w:p w:rsidR="009025F8" w:rsidRDefault="009025F8">
      <w:pPr>
        <w:pStyle w:val="FootnoteText"/>
        <w:jc w:val="both"/>
        <w:rPr>
          <w:sz w:val="20"/>
          <w:szCs w:val="20"/>
          <w:lang w:val="sr-Latn-RS"/>
        </w:rPr>
      </w:pPr>
    </w:p>
    <w:p w:rsidR="009025F8" w:rsidRDefault="00CC6C67">
      <w:pPr>
        <w:pStyle w:val="FootnoteText"/>
        <w:jc w:val="both"/>
        <w:rPr>
          <w:sz w:val="20"/>
          <w:szCs w:val="20"/>
          <w:lang w:val="sr-Latn-RS"/>
        </w:rPr>
      </w:pPr>
      <w:r>
        <w:rPr>
          <w:sz w:val="20"/>
          <w:szCs w:val="20"/>
          <w:lang w:val="sr-Latn-RS"/>
        </w:rPr>
        <w:t xml:space="preserve">(Tabela 1): </w:t>
      </w:r>
      <w:r>
        <w:rPr>
          <w:sz w:val="20"/>
          <w:szCs w:val="20"/>
        </w:rPr>
        <w:t>European Commission (2018). Proposal for a Regulation of the European Parliament and of the Council amending Regulations (EU) No 1308/2013 establishing a common organisation of the markets in agricultural products, (EU) No 1151/2012 on quality schemes for agricultural products and foodstuffs, (EU) No 251/2014 on the definition, description, presentation, labelling and the protection of geographical indications of aromatised wine products, (EU) No 228/2013 laying down specific measures for agriculture in the outermost regions of the Union and (EU) No 229/2013 laying down specific measures for agriculture in favour of the smaller Aegean islands, COM</w:t>
      </w:r>
      <w:r>
        <w:rPr>
          <w:sz w:val="20"/>
          <w:szCs w:val="20"/>
          <w:lang w:val="sr-Latn-RS"/>
        </w:rPr>
        <w:t xml:space="preserve"> </w:t>
      </w:r>
      <w:r>
        <w:rPr>
          <w:sz w:val="20"/>
          <w:szCs w:val="20"/>
        </w:rPr>
        <w:t>(2018)</w:t>
      </w:r>
      <w:r>
        <w:rPr>
          <w:sz w:val="20"/>
          <w:szCs w:val="20"/>
          <w:lang w:val="sr-Latn-RS"/>
        </w:rPr>
        <w:t xml:space="preserve"> </w:t>
      </w:r>
      <w:r>
        <w:rPr>
          <w:sz w:val="20"/>
          <w:szCs w:val="20"/>
        </w:rPr>
        <w:t>394</w:t>
      </w:r>
      <w:r>
        <w:rPr>
          <w:sz w:val="20"/>
          <w:szCs w:val="20"/>
          <w:lang w:val="sr-Latn-RS"/>
        </w:rPr>
        <w:t>.</w:t>
      </w:r>
    </w:p>
    <w:p w:rsidR="009025F8" w:rsidRDefault="009025F8">
      <w:pPr>
        <w:pStyle w:val="FootnoteText"/>
        <w:rPr>
          <w:sz w:val="16"/>
          <w:szCs w:val="16"/>
          <w:lang w:val="sr-Latn-RS"/>
        </w:rPr>
      </w:pPr>
    </w:p>
    <w:p w:rsidR="009025F8" w:rsidRDefault="009025F8">
      <w:pPr>
        <w:pStyle w:val="FootnoteText"/>
        <w:rPr>
          <w:sz w:val="16"/>
          <w:szCs w:val="16"/>
          <w:lang w:val="sr-Latn-RS"/>
        </w:rPr>
      </w:pPr>
    </w:p>
    <w:p w:rsidR="009025F8" w:rsidRDefault="00CC6C67">
      <w:pPr>
        <w:spacing w:line="288" w:lineRule="auto"/>
        <w:rPr>
          <w:sz w:val="24"/>
          <w:szCs w:val="24"/>
          <w:lang w:val="sr-Latn-RS"/>
        </w:rPr>
      </w:pPr>
      <w:r>
        <w:rPr>
          <w:sz w:val="24"/>
          <w:szCs w:val="24"/>
          <w:lang w:val="sr-Latn-RS"/>
        </w:rPr>
        <w:t>Kao jedan od stubova Evropske unije, zajednička agrarna politika osmišljena je sa idejom da svim poljoprivrednicima na području unije obezbedi jednake uslove za poslovanje i pristup tržištu. Povećanjem broja članica vremenom  je došlo do razlika u stepenu razvijenosti poljoprivrede  u pojedinim državama, a te razlike su evidentne i između pojedinih regiona istih država.Takođe, sa povećanjem broja članica heterogenost agrarne strukture i agrarnih resursa Evropske unije sve više je izražena.</w:t>
      </w:r>
      <w:r>
        <w:rPr>
          <w:rStyle w:val="FootnoteReference"/>
          <w:sz w:val="24"/>
          <w:szCs w:val="24"/>
          <w:lang w:val="sr-Latn-RS"/>
        </w:rPr>
        <w:footnoteReference w:id="9"/>
      </w:r>
      <w:r>
        <w:rPr>
          <w:sz w:val="24"/>
          <w:szCs w:val="24"/>
          <w:lang w:val="sr-Latn-RS"/>
        </w:rPr>
        <w:t xml:space="preserve"> Evropska komisija iz tog razloga predlaže veću raznolikost mera i mehanizama podrške, a sve da bi izašla u susret zahtevima svake pojedinačne članice. U skladu sa takvim tendencijama, agrarna politika gubi prefiks ,,zajednička”. Kao moguća rešenja  predlaže se postavljanje izvesnog minimuma zajedništva kada su  u pitanju zahtevi koji se postavljaju pred zemlje članice u procesu primene mera CAP koje će garantovati da svi poljoprivrednici posluju u istim uslovima.</w:t>
      </w:r>
    </w:p>
    <w:p w:rsidR="009025F8" w:rsidRDefault="009025F8">
      <w:pPr>
        <w:spacing w:line="288" w:lineRule="auto"/>
        <w:rPr>
          <w:sz w:val="24"/>
          <w:szCs w:val="24"/>
          <w:lang w:val="sr-Latn-RS"/>
        </w:rPr>
      </w:pPr>
    </w:p>
    <w:p w:rsidR="009025F8" w:rsidRDefault="00CC6C67">
      <w:pPr>
        <w:pStyle w:val="Heading1"/>
        <w:rPr>
          <w:rFonts w:eastAsia="Calibri"/>
          <w:szCs w:val="24"/>
          <w:lang w:val="sr-Latn-RS"/>
        </w:rPr>
      </w:pPr>
      <w:bookmarkStart w:id="7" w:name="_Toc31543"/>
      <w:r>
        <w:rPr>
          <w:lang w:val="sr-Latn-RS"/>
        </w:rPr>
        <w:t>RAZDVAJANJE AGRARNE OD RURALNE KOMPONETE - OSVRT NA REFORME ZAJEDNIČKE AGRARNE POLITIKE</w:t>
      </w:r>
      <w:bookmarkEnd w:id="7"/>
    </w:p>
    <w:p w:rsidR="009025F8" w:rsidRDefault="00CC6C67">
      <w:pPr>
        <w:spacing w:line="288" w:lineRule="auto"/>
        <w:rPr>
          <w:sz w:val="24"/>
          <w:szCs w:val="24"/>
          <w:lang w:val="sr-Latn-RS"/>
        </w:rPr>
      </w:pPr>
      <w:r>
        <w:rPr>
          <w:rFonts w:eastAsia="Calibri"/>
          <w:sz w:val="24"/>
          <w:szCs w:val="24"/>
          <w:lang w:val="sr-Latn-RS"/>
        </w:rPr>
        <w:t xml:space="preserve">Od dve razvojne faze koje su karakteristične za ZAP, prva je definisana formulisanjem Rimskog ugovora 1957. godine i osnovnih ciljeva agrarne politike ujedinjenog evropskog prostora. U članu 33 osnovni cilj Zajedničke agrarne politike je objašnjen kao povećanje produktivnosti u poljoprivredi tako da se: 1) osigura fer životni standard za poljoprivrednike; 2) obezbedi održiva tržišna stabilost; 3) osigura </w:t>
      </w:r>
      <w:r>
        <w:rPr>
          <w:rFonts w:eastAsia="Calibri"/>
          <w:sz w:val="24"/>
          <w:szCs w:val="24"/>
          <w:lang w:val="sr-Latn-RS"/>
        </w:rPr>
        <w:lastRenderedPageBreak/>
        <w:t>raspoloživost ponude poljoprivrednih proizvoda; 4) održe razumljive cene za potrošače. Pored toga, pri ostvarivanju navedenih ciljeva treba da se vodi računa o sledećim temama: 1) socijalnoj strukturi u poljoprivredi ( porodični model); 2) regionalnim disparitetima; 3) bliskim vezama između poljoprivrede i ostatka ekonomije. Berlinskim sporazumom iz 1999. godine početni cilj je promenjen: umesto povećanja produktivnosti uvodi se novi cilj koji je usmeren ka povećanju agrokonkurentnosti evropskog modela poljoprivrede. Druga faza počinje 1990-ih i označava kompletno novu strukturnu politiku i reformske zahvate u domenu proizvodnih kapaciteta, multifunkcionalnosti poljoprivrede i zaštite životne sredine. Proces restrukturiranja je podržan merama nacionalnih agrarnih politika, a posebno ZAP, i usmeravan je na koncentraciju u sektoru poljoprivrede i projektovanje novih mogućnosti u okviru kompleksno shvaćenje ruralne ekonomije u kojoj je poljoprivreda samo jedan od povezanih delatnosti na ruralnim područjima.</w:t>
      </w:r>
      <w:r>
        <w:rPr>
          <w:rStyle w:val="FootnoteReference"/>
          <w:rFonts w:eastAsia="Calibri"/>
          <w:sz w:val="24"/>
          <w:szCs w:val="24"/>
          <w:lang w:val="sr-Latn-RS"/>
        </w:rPr>
        <w:footnoteReference w:id="10"/>
      </w:r>
      <w:r>
        <w:rPr>
          <w:rFonts w:eastAsia="Calibri"/>
          <w:sz w:val="24"/>
          <w:szCs w:val="24"/>
          <w:lang w:val="sr-Latn-RS"/>
        </w:rPr>
        <w:t xml:space="preserve"> Postoje mišljenja da su reforme agrarne politike u Evropi rezultat trenutnih reakcija na različite šokove ekonomske prirode</w:t>
      </w:r>
      <w:r>
        <w:rPr>
          <w:rStyle w:val="FootnoteReference"/>
          <w:rFonts w:eastAsia="Calibri"/>
          <w:sz w:val="24"/>
          <w:szCs w:val="24"/>
          <w:lang w:val="sr-Latn-RS"/>
        </w:rPr>
        <w:footnoteReference w:id="11"/>
      </w:r>
      <w:r>
        <w:rPr>
          <w:rFonts w:eastAsia="Calibri"/>
          <w:sz w:val="24"/>
          <w:szCs w:val="24"/>
          <w:lang w:val="sr-Latn-RS"/>
        </w:rPr>
        <w:t>, najnovije analize prikazuju da postoji uzročno-posledična povezanost. Svaki reformski zahvat ima korene u predhodno sprovedenim promenama. Na primer, reforma stabilizacije agrarnog budžeta iz 1988. godine uslovila je čitav niz rešenja u okviru Makšerijevih reformi 1992. godine</w:t>
      </w:r>
      <w:r>
        <w:rPr>
          <w:rStyle w:val="FootnoteReference"/>
          <w:rFonts w:eastAsia="Calibri"/>
          <w:sz w:val="24"/>
          <w:szCs w:val="24"/>
          <w:lang w:val="sr-Latn-RS"/>
        </w:rPr>
        <w:footnoteReference w:id="12"/>
      </w:r>
      <w:r>
        <w:rPr>
          <w:rFonts w:eastAsia="Calibri"/>
          <w:sz w:val="24"/>
          <w:szCs w:val="24"/>
          <w:lang w:val="sr-Latn-RS"/>
        </w:rPr>
        <w:t>. Na osnovu uspešnih reformi Zajedničke agrarne politike počev od 1990– ih godina , a pogotovo na osnovu reforme 2000. godine, stvorena je baza za konsolidovanje finansijskog okvira pomoći agrarnom i ruralnom razvoju do kraja 2013. godine. Prema Agendi 2000, Zajednička agrarna politika je koncipirana u dva komplementarna stuba. Prvi stub čine tržišne mere i direktna plaćanja, a drugi stub čine mere ruralnog razvoja. Mere prvog stuba se planiraju na godišnjem nivou, dok se mere drugog stuba programiraju za duži vremenski period. Na ovaj način primenjeni su instrumenti pomoću kojih se ostvaruju ciljevi reformisane politike, tako što se pod zajednički kišobran stavljaju različite strukturne i teritorijalne mere u cilju podrške područjima koja su zapostavljena. Najvažniji razloti za novu reformu ZAP vezani su za formulisanje nove platforme koja treba da obezbedi ostvarenje održivog, pametnog i inkluzivnog rasta.</w:t>
      </w:r>
    </w:p>
    <w:p w:rsidR="009025F8" w:rsidRDefault="009025F8">
      <w:pPr>
        <w:rPr>
          <w:lang w:val="sr-Latn-RS"/>
        </w:rPr>
      </w:pPr>
    </w:p>
    <w:p w:rsidR="009025F8" w:rsidRDefault="009025F8">
      <w:pPr>
        <w:spacing w:line="288" w:lineRule="auto"/>
        <w:rPr>
          <w:rFonts w:eastAsia="Calibri"/>
          <w:sz w:val="24"/>
          <w:szCs w:val="24"/>
          <w:lang w:val="sr-Latn-RS"/>
        </w:rPr>
      </w:pPr>
    </w:p>
    <w:p w:rsidR="009025F8" w:rsidRDefault="00CC6C67">
      <w:pPr>
        <w:rPr>
          <w:rFonts w:eastAsia="Calibri"/>
          <w:sz w:val="24"/>
          <w:szCs w:val="24"/>
          <w:lang w:val="sr-Latn-RS"/>
        </w:rPr>
      </w:pPr>
      <w:r>
        <w:rPr>
          <w:rFonts w:eastAsia="Calibri"/>
          <w:sz w:val="24"/>
          <w:szCs w:val="24"/>
          <w:lang w:val="sr-Latn-RS"/>
        </w:rPr>
        <w:br w:type="page"/>
      </w:r>
    </w:p>
    <w:p w:rsidR="009025F8" w:rsidRDefault="00CC6C67">
      <w:pPr>
        <w:pStyle w:val="Heading1"/>
        <w:rPr>
          <w:lang w:val="sr-Latn-RS"/>
        </w:rPr>
      </w:pPr>
      <w:bookmarkStart w:id="8" w:name="_Toc23288"/>
      <w:r>
        <w:rPr>
          <w:lang w:val="sr-Latn-RS"/>
        </w:rPr>
        <w:lastRenderedPageBreak/>
        <w:t>MEKŠERIJEVA REFORMA</w:t>
      </w:r>
      <w:bookmarkEnd w:id="8"/>
      <w:r>
        <w:rPr>
          <w:lang w:val="sr-Latn-RS"/>
        </w:rPr>
        <w:t xml:space="preserve"> </w:t>
      </w:r>
    </w:p>
    <w:p w:rsidR="009025F8" w:rsidRDefault="00CC6C67">
      <w:pPr>
        <w:spacing w:line="288" w:lineRule="auto"/>
        <w:rPr>
          <w:rFonts w:eastAsia="Calibri"/>
          <w:sz w:val="24"/>
          <w:szCs w:val="24"/>
          <w:lang w:val="sr-Latn-RS"/>
        </w:rPr>
      </w:pPr>
      <w:r>
        <w:rPr>
          <w:rFonts w:eastAsia="Calibri"/>
          <w:sz w:val="24"/>
          <w:szCs w:val="24"/>
          <w:lang w:val="sr-Latn-RS"/>
        </w:rPr>
        <w:t>Pitanje reforme Zajedničke agrarne politike postalo je opet aktuelno 1987. i 1988. godine zbog pritiska u bužetu. Komisija je dala predlog za mešavinu mera da bi se sprečila prekomerna proizvodnja, ograničavanje potrošnje kao i diverzifikacija podrške poljoprivrednim proizvođačima i promovisanje ruralnog razvoja. Direktna plaćanja farmerima uvedena su 1988. godine tzv. Makšerijevom reformom i ona će postati sve značajniji način subvencionisanja poljoprivrede.</w:t>
      </w:r>
      <w:r>
        <w:rPr>
          <w:rStyle w:val="FootnoteReference"/>
          <w:rFonts w:eastAsia="Calibri"/>
          <w:sz w:val="24"/>
          <w:szCs w:val="24"/>
          <w:lang w:val="sr-Latn-RS"/>
        </w:rPr>
        <w:footnoteReference w:id="13"/>
      </w:r>
      <w:r>
        <w:rPr>
          <w:rFonts w:eastAsia="Calibri"/>
          <w:sz w:val="24"/>
          <w:szCs w:val="24"/>
          <w:lang w:val="sr-Latn-RS"/>
        </w:rPr>
        <w:t xml:space="preserve"> I ovaj pokušaj reforme je bio delimično uspešan. Pritisak da se sprovede delotvorna forma je i dalje jačao, i to ne samo zbog prekovremenih troškova ZAP-a, već i zato što je ZAP podsticao nepovoljne međunarodne komentare o nedavno pokrenutom programu jedinstvenog tržišta. Na sve ovo je dodatno uticao i slab napredak u Urugvajskoj rundi pregovaranja o Opštem sporazumu o carinama i trgovini (GATT). Nesporazum je nastao zbog nesuglasica oko izvoznih subvencija, i istovremeno je doprineo da se poveća međunarodni pritisak na Evropsku Zajednicu da reformiše Zajedničku agrarnu politiku. Uključivanje poljoprivrede u Urugvajsku rundu , Komisiju je dovelo u poziciju da se brani i pre nego što su pregovori i počeli septembra 1986. godine. Savet je insistirao da se osnovni ciljevi i mehanizmi ZAP-a kako oni unutrašnji tako i spoljni ne dovode u pitanje.</w:t>
      </w:r>
      <w:r>
        <w:rPr>
          <w:rStyle w:val="FootnoteReference"/>
          <w:rFonts w:eastAsia="Calibri"/>
          <w:sz w:val="24"/>
          <w:szCs w:val="24"/>
          <w:lang w:val="sr-Latn-RS"/>
        </w:rPr>
        <w:footnoteReference w:id="14"/>
      </w:r>
      <w:r>
        <w:rPr>
          <w:rFonts w:eastAsia="Calibri"/>
          <w:sz w:val="24"/>
          <w:szCs w:val="24"/>
          <w:lang w:val="sr-Latn-RS"/>
        </w:rPr>
        <w:t xml:space="preserve"> Komesar za poljoprivredu Irac Rej Mekšeri (Ray MacSharry) je bio glavni tvorac i pokretač plana reformi koji je nazvan njegovim imenom ,,Makšerijev plan“. Države članice su u junu 1992. godine napravile sporazum o prvoj reformi ZAP-a. ZAP je promenjena u osnovi sa Mekšerijevim reformskim paketom. Mekšerijev plan sadrži 4 glavne promene politike:</w:t>
      </w:r>
    </w:p>
    <w:p w:rsidR="009025F8" w:rsidRDefault="009025F8">
      <w:pPr>
        <w:spacing w:line="288" w:lineRule="auto"/>
        <w:jc w:val="left"/>
        <w:rPr>
          <w:rFonts w:eastAsia="Calibri"/>
          <w:sz w:val="24"/>
          <w:szCs w:val="24"/>
          <w:lang w:val="sr-Latn-RS"/>
        </w:rPr>
      </w:pPr>
    </w:p>
    <w:p w:rsidR="009025F8" w:rsidRDefault="00CC6C67">
      <w:pPr>
        <w:pStyle w:val="ListParagraph"/>
        <w:numPr>
          <w:ilvl w:val="0"/>
          <w:numId w:val="2"/>
        </w:numPr>
        <w:spacing w:line="288" w:lineRule="auto"/>
        <w:rPr>
          <w:rFonts w:eastAsia="Calibri"/>
          <w:sz w:val="24"/>
          <w:szCs w:val="24"/>
          <w:lang w:val="sr-Latn-RS"/>
        </w:rPr>
      </w:pPr>
      <w:r>
        <w:rPr>
          <w:rFonts w:eastAsia="Calibri"/>
          <w:sz w:val="24"/>
          <w:szCs w:val="24"/>
          <w:lang w:val="sr-Latn-RS"/>
        </w:rPr>
        <w:t>Smanjene su cene u određenim sektorima. U okviru ove reforme, smanjene su cene žitaricama i uljaricama za 30% u periodu od tri godine. Cene za mleko, govedinu i ovce su smanjene za 15%. Smanjenje je urađeno da bi se cene približile cenama na svetskom tržištu.(Kasnije je smanjenje cena bilo uvedeno i za voće i povrće).</w:t>
      </w:r>
    </w:p>
    <w:p w:rsidR="009025F8" w:rsidRDefault="00CC6C67">
      <w:pPr>
        <w:pStyle w:val="ListParagraph"/>
        <w:numPr>
          <w:ilvl w:val="0"/>
          <w:numId w:val="2"/>
        </w:numPr>
        <w:spacing w:line="288" w:lineRule="auto"/>
        <w:rPr>
          <w:rFonts w:eastAsia="Calibri"/>
          <w:sz w:val="24"/>
          <w:szCs w:val="24"/>
          <w:lang w:val="sr-Latn-RS"/>
        </w:rPr>
      </w:pPr>
      <w:r>
        <w:rPr>
          <w:rFonts w:eastAsia="Calibri"/>
          <w:sz w:val="24"/>
          <w:szCs w:val="24"/>
          <w:lang w:val="sr-Latn-RS"/>
        </w:rPr>
        <w:t>Neposredna podrška prihodima poljoprivrednika. Reformom je uveden sistem neposrednih isplata poljoprivrednicima, kao i nadoknada za smanjenje cena pojedinim poljoprivrednim sektorima.</w:t>
      </w:r>
    </w:p>
    <w:p w:rsidR="009025F8" w:rsidRDefault="00CC6C67">
      <w:pPr>
        <w:pStyle w:val="ListParagraph"/>
        <w:numPr>
          <w:ilvl w:val="0"/>
          <w:numId w:val="2"/>
        </w:numPr>
        <w:spacing w:line="288" w:lineRule="auto"/>
        <w:rPr>
          <w:rFonts w:eastAsia="Calibri"/>
          <w:sz w:val="24"/>
          <w:szCs w:val="24"/>
          <w:lang w:val="sr-Latn-RS"/>
        </w:rPr>
      </w:pPr>
      <w:r>
        <w:rPr>
          <w:rFonts w:eastAsia="Calibri"/>
          <w:sz w:val="24"/>
          <w:szCs w:val="24"/>
          <w:lang w:val="sr-Latn-RS"/>
        </w:rPr>
        <w:t>Važna karakteristika ove reforme je uvođenje tzv. ,,seme za nekorišćenje“  koja je predviđala da se komercijalnim proizvođačima u određenim sektorima (prvenstveno žitarice) u određenim regionima plaćalo da drže zemlju neobrađenom, umesto da uzgajaju kulture koje bi EU morala da otkupljuje.</w:t>
      </w:r>
      <w:r>
        <w:rPr>
          <w:rStyle w:val="FootnoteReference"/>
          <w:rFonts w:eastAsia="Calibri"/>
          <w:sz w:val="24"/>
          <w:szCs w:val="24"/>
          <w:lang w:val="sr-Latn-RS"/>
        </w:rPr>
        <w:footnoteReference w:id="15"/>
      </w:r>
    </w:p>
    <w:p w:rsidR="009025F8" w:rsidRDefault="00CC6C67">
      <w:pPr>
        <w:pStyle w:val="ListParagraph"/>
        <w:numPr>
          <w:ilvl w:val="0"/>
          <w:numId w:val="2"/>
        </w:numPr>
        <w:spacing w:line="288" w:lineRule="auto"/>
        <w:rPr>
          <w:rFonts w:eastAsia="Calibri"/>
          <w:sz w:val="24"/>
          <w:szCs w:val="24"/>
          <w:lang w:val="sr-Latn-RS"/>
        </w:rPr>
      </w:pPr>
      <w:r>
        <w:rPr>
          <w:rFonts w:eastAsia="Calibri"/>
          <w:sz w:val="24"/>
          <w:szCs w:val="24"/>
          <w:lang w:val="sr-Latn-RS"/>
        </w:rPr>
        <w:t xml:space="preserve">Propratne mere su podrazumevale uvođenje novih programa podrške ruralnom razvoju, ekološkoj poljoprivredi, zameni poljoprivrednih dobara šumama i </w:t>
      </w:r>
      <w:r>
        <w:rPr>
          <w:rFonts w:eastAsia="Calibri"/>
          <w:sz w:val="24"/>
          <w:szCs w:val="24"/>
          <w:lang w:val="sr-Latn-RS"/>
        </w:rPr>
        <w:lastRenderedPageBreak/>
        <w:t>ranom penzionisanju poljoprivrednika.</w:t>
      </w:r>
      <w:r>
        <w:rPr>
          <w:rStyle w:val="FootnoteReference"/>
          <w:rFonts w:eastAsia="Calibri"/>
          <w:sz w:val="24"/>
          <w:szCs w:val="24"/>
          <w:lang w:val="sr-Latn-RS"/>
        </w:rPr>
        <w:footnoteReference w:id="16"/>
      </w:r>
      <w:r>
        <w:rPr>
          <w:rFonts w:eastAsia="Calibri"/>
          <w:sz w:val="24"/>
          <w:szCs w:val="24"/>
          <w:lang w:val="sr-Latn-RS"/>
        </w:rPr>
        <w:t xml:space="preserve"> Zanimljivo je spomenuti da je velikodušni plan nadoknada, o kome se sporazumeo Savet za poljoprivredu učinio da reformisani ZAP bude još skuplji od onog nereformisanog. Ipak, rezom u garantovanim cenama i izostavljanjem dela zemlje iz proizvodnje, reforma je pomogla da se smanje poljoprivredni viškovi.</w:t>
      </w:r>
    </w:p>
    <w:p w:rsidR="009025F8" w:rsidRPr="009C2B14" w:rsidRDefault="00CC6C67" w:rsidP="009C2B14">
      <w:pPr>
        <w:rPr>
          <w:rFonts w:eastAsia="Calibri"/>
          <w:sz w:val="24"/>
          <w:szCs w:val="24"/>
          <w:lang w:val="sr-Latn-RS"/>
        </w:rPr>
      </w:pPr>
      <w:r>
        <w:rPr>
          <w:rFonts w:eastAsia="Calibri"/>
          <w:sz w:val="24"/>
          <w:szCs w:val="24"/>
          <w:lang w:val="sr-Latn-RS"/>
        </w:rPr>
        <w:br w:type="page"/>
      </w:r>
    </w:p>
    <w:p w:rsidR="009C2B14" w:rsidRDefault="009C2B14" w:rsidP="004156EB">
      <w:pPr>
        <w:jc w:val="center"/>
        <w:rPr>
          <w:b/>
          <w:sz w:val="24"/>
          <w:szCs w:val="24"/>
          <w:lang w:val="sr-Latn-RS"/>
        </w:rPr>
      </w:pPr>
      <w:bookmarkStart w:id="9" w:name="_Toc21514"/>
      <w:r>
        <w:rPr>
          <w:b/>
          <w:sz w:val="24"/>
          <w:szCs w:val="24"/>
          <w:lang w:val="sr-Latn-RS"/>
        </w:rPr>
        <w:lastRenderedPageBreak/>
        <w:t>ZAKLJUČAK</w:t>
      </w: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4156EB">
      <w:pPr>
        <w:spacing w:line="288" w:lineRule="auto"/>
        <w:jc w:val="center"/>
        <w:rPr>
          <w:b/>
          <w:sz w:val="24"/>
          <w:szCs w:val="24"/>
          <w:lang w:val="sr-Latn-RS"/>
        </w:rPr>
      </w:pPr>
    </w:p>
    <w:p w:rsidR="009C2B14" w:rsidRPr="009C2B14" w:rsidRDefault="009C2B14" w:rsidP="004156EB">
      <w:pPr>
        <w:spacing w:line="288" w:lineRule="auto"/>
        <w:rPr>
          <w:sz w:val="24"/>
          <w:szCs w:val="24"/>
          <w:lang w:val="sr-Latn-RS"/>
        </w:rPr>
      </w:pPr>
      <w:r>
        <w:rPr>
          <w:sz w:val="24"/>
          <w:szCs w:val="24"/>
          <w:lang w:val="sr-Latn-RS"/>
        </w:rPr>
        <w:t xml:space="preserve">Reformisanje Zajedničke agrarne politike zemalja Evropske unije predstavlja važan potez ka prilagođavanju agrarnog sektora savremenim izazovima. Kroz godine, ZAP je evoluirala kako bi zadovoljila zelje i potrebe poljoprivrednika, zaštitila životnu sredinu i osigurala snabdevanje hranom za građane EU. Međutim postojeći model ZAP-a nije bio bez nedostataka i suočio se sa kritikama koje su ukazivale na potrebu za reformom. </w:t>
      </w:r>
      <w:r w:rsidR="004156EB">
        <w:rPr>
          <w:sz w:val="24"/>
          <w:szCs w:val="24"/>
          <w:lang w:val="sr-Latn-RS"/>
        </w:rPr>
        <w:t>R</w:t>
      </w:r>
      <w:r>
        <w:rPr>
          <w:sz w:val="24"/>
          <w:szCs w:val="24"/>
          <w:lang w:val="sr-Latn-RS"/>
        </w:rPr>
        <w:t>e</w:t>
      </w:r>
      <w:r w:rsidR="004156EB">
        <w:rPr>
          <w:sz w:val="24"/>
          <w:szCs w:val="24"/>
          <w:lang w:val="sr-Latn-RS"/>
        </w:rPr>
        <w:t>formisanje Zajedničke agrarne politike ima za cilj poboljšanje efikasnosti, transparentnosti i pravednosti politike, kao i usklađivanje sa novim izazovima koji se pojavljuju, kao što su klimatske promene, očuvanje biodiverziteta i zaštita resursa. Takođe naglasak se stavlja na uspostavljanje fer konkurencije, smanjenje administrativnih prepreka i pružanje adekvatnih sredstava za ruralni razvoj. Reformisanje ZAP-a je ključni korak u pravcu održivijeg i konkurentnijeg agrarnog sektora. Kroz podršku ekološki održivoj poljoprivredi, diverzifiikaciji ruralnih aktivnosti i podsticanju inovacija, nova politika će unaprediti kvalitet života u ruralnim područjima, zaštititi prirodne resurse i doprineti postizanju ciljeva održivog razvoja.</w:t>
      </w: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C2B14" w:rsidRDefault="009C2B14" w:rsidP="009C2B14">
      <w:pPr>
        <w:jc w:val="center"/>
        <w:rPr>
          <w:b/>
          <w:sz w:val="24"/>
          <w:szCs w:val="24"/>
          <w:lang w:val="sr-Latn-RS"/>
        </w:rPr>
      </w:pPr>
    </w:p>
    <w:p w:rsidR="009025F8" w:rsidRDefault="00CC6C67" w:rsidP="00793455">
      <w:pPr>
        <w:pStyle w:val="Heading1"/>
        <w:spacing w:line="264" w:lineRule="auto"/>
        <w:ind w:left="2160" w:firstLine="720"/>
        <w:jc w:val="both"/>
        <w:rPr>
          <w:lang w:val="sr-Latn-RS"/>
        </w:rPr>
      </w:pPr>
      <w:r>
        <w:rPr>
          <w:lang w:val="sr-Latn-RS"/>
        </w:rPr>
        <w:lastRenderedPageBreak/>
        <w:t>LITERATURA</w:t>
      </w:r>
      <w:bookmarkEnd w:id="9"/>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Bulletin of the European Communities, No.3/1985, tačke 1.2.11, 2.1.22 i 2.2.12.;</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Council Regulation (EC) No.1257/1999 of  17 May 1999 on support for rural development from the European Agricultural Guidance and Guarantee Fund(EAGGF) and amending and repeailing certain Regulations, OJ L 160, 26.6.1999, p. 80-109, Art. 35.</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Daugbjerg, C., 1999, Reforming the CAP: policy networks and broader institutional structures, Journal of Common Market Studies 37 (3), str.. 407-428, Serger, S.S., 2001, Negotiating CAP Reform in the European Union – Agenda 2000, Report 2001: 4, Lund: Swedich Institute for Food and Agricultural Economics;</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Garzon, I., 2006, The MacSharry Reform (1992), In: Reforming the Common Agricultural Policy, Palgrave Studies in European Union Politics, Palgrave Macmillian, London;</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rPr>
        <w:t>European Commission (2018). Proposal for a Regulation of the European Parliament and of the Council amending Regulations (EU) No 1308/2013 establishing a common organisation of the markets in agricultural products, (EU) No 1151/2012 on quality schemes for agricultural products and foodstuffs, (EU) No 251/2014 on the definition, description, presentation, labelling and the protection of geographical indications of aromatised wine products, (EU) No 228/2013 laying down specific measures for agriculture in the outermost regions of the Union and (EU) No 229/2013 laying down specific measures for agriculture in favour of the smaller Aegean islands, COM</w:t>
      </w:r>
      <w:r>
        <w:rPr>
          <w:sz w:val="24"/>
          <w:szCs w:val="24"/>
          <w:lang w:val="sr-Latn-RS"/>
        </w:rPr>
        <w:t xml:space="preserve">  (</w:t>
      </w:r>
      <w:r>
        <w:rPr>
          <w:sz w:val="24"/>
          <w:szCs w:val="24"/>
        </w:rPr>
        <w:t>2018)</w:t>
      </w:r>
      <w:r>
        <w:rPr>
          <w:sz w:val="24"/>
          <w:szCs w:val="24"/>
          <w:lang w:val="sr-Latn-RS"/>
        </w:rPr>
        <w:t xml:space="preserve"> </w:t>
      </w:r>
      <w:r>
        <w:rPr>
          <w:sz w:val="24"/>
          <w:szCs w:val="24"/>
        </w:rPr>
        <w:t>394</w:t>
      </w:r>
      <w:r>
        <w:rPr>
          <w:sz w:val="24"/>
          <w:szCs w:val="24"/>
          <w:lang w:val="sr-Latn-RS"/>
        </w:rPr>
        <w:t>;</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Kay, A., 2003, Path dependencz and the CAP, Journal of European Public Policy  10 (3), str. 405-420;</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Sarker, R., Jayasinghe, S., 2007, Refional trade agreements and trade in agri-food products: evidence for European Union from gravity modeling using disaggregated data, Agricultural Economics 37, str. 95;</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Volk, T., 2004, Uticaj agrarne politike na razvoj poljoprivrede Slovenije u periodu tranzicije i uključenja u Evropsku Uniju, Društvo agrarnih ekonomista Slovenije, Društvo agrarnih ekonomista Srbije, Domžale;</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Đurić, K., 2020, Stanje i perspektive poljoprivrednog savetodavstva u Republici Srbiji, monografija, Poljoprivredni fakultet, Novi Sad;</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Zakić, Z., Stojanović, Ž., 2007, Pregled mesta poljoprivrede u teoriji privrednog razvoja u: Rikalović, G., Devetaković, S., Ekonomska politika i razvoj, Ekonomski fakultet, Beograd;</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jc w:val="both"/>
        <w:rPr>
          <w:sz w:val="24"/>
          <w:szCs w:val="24"/>
          <w:lang w:val="sr-Latn-RS"/>
        </w:rPr>
      </w:pPr>
      <w:r>
        <w:rPr>
          <w:sz w:val="24"/>
          <w:szCs w:val="24"/>
          <w:lang w:val="sr-Latn-RS"/>
        </w:rPr>
        <w:t>Prokopijević, M., 2009, Evropska unija, Službeni glasnik, Beograd, str. 347.;</w:t>
      </w:r>
    </w:p>
    <w:p w:rsidR="009025F8" w:rsidRDefault="009025F8" w:rsidP="00793455">
      <w:pPr>
        <w:pStyle w:val="FootnoteText"/>
        <w:spacing w:line="288" w:lineRule="auto"/>
        <w:jc w:val="both"/>
        <w:rPr>
          <w:sz w:val="24"/>
          <w:szCs w:val="24"/>
          <w:lang w:val="sr-Latn-RS"/>
        </w:rPr>
      </w:pPr>
    </w:p>
    <w:p w:rsidR="009025F8" w:rsidRDefault="00CC6C67" w:rsidP="00793455">
      <w:pPr>
        <w:pStyle w:val="FootnoteText"/>
        <w:numPr>
          <w:ilvl w:val="0"/>
          <w:numId w:val="3"/>
        </w:numPr>
        <w:spacing w:line="288" w:lineRule="auto"/>
        <w:rPr>
          <w:sz w:val="24"/>
          <w:szCs w:val="24"/>
          <w:lang w:val="sr-Latn-RS"/>
        </w:rPr>
      </w:pPr>
      <w:r>
        <w:rPr>
          <w:sz w:val="24"/>
          <w:szCs w:val="24"/>
          <w:lang w:val="sr-Latn-RS"/>
        </w:rPr>
        <w:t xml:space="preserve">Hiks, S., 2007, Politički sistem Evropske unije, Službeni glasnik, Beograd, str. 269.; </w:t>
      </w:r>
    </w:p>
    <w:p w:rsidR="009025F8" w:rsidRDefault="009025F8">
      <w:pPr>
        <w:pStyle w:val="FootnoteText"/>
        <w:jc w:val="both"/>
        <w:rPr>
          <w:sz w:val="24"/>
          <w:szCs w:val="24"/>
          <w:lang w:val="sr-Latn-RS"/>
        </w:rPr>
      </w:pPr>
    </w:p>
    <w:p w:rsidR="009025F8" w:rsidRDefault="009025F8">
      <w:pPr>
        <w:pStyle w:val="FootnoteText"/>
        <w:jc w:val="both"/>
        <w:rPr>
          <w:sz w:val="24"/>
          <w:szCs w:val="24"/>
          <w:lang w:val="sr-Latn-RS"/>
        </w:rPr>
      </w:pPr>
    </w:p>
    <w:p w:rsidR="009025F8" w:rsidRDefault="009025F8">
      <w:pPr>
        <w:rPr>
          <w:lang w:val="sr-Latn-RS"/>
        </w:rPr>
      </w:pPr>
    </w:p>
    <w:p w:rsidR="009025F8" w:rsidRDefault="009025F8">
      <w:pPr>
        <w:rPr>
          <w:lang w:val="sr-Latn-RS"/>
        </w:rPr>
      </w:pPr>
    </w:p>
    <w:p w:rsidR="009025F8" w:rsidRDefault="009025F8">
      <w:pPr>
        <w:rPr>
          <w:rFonts w:eastAsia="Calibri"/>
          <w:sz w:val="24"/>
          <w:szCs w:val="24"/>
          <w:lang w:val="sr-Latn-RS"/>
        </w:rPr>
      </w:pPr>
    </w:p>
    <w:sectPr w:rsidR="009025F8">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4ED" w:rsidRDefault="004A54ED">
      <w:r>
        <w:separator/>
      </w:r>
    </w:p>
  </w:endnote>
  <w:endnote w:type="continuationSeparator" w:id="0">
    <w:p w:rsidR="004A54ED" w:rsidRDefault="004A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4ED" w:rsidRDefault="004A54ED">
      <w:r>
        <w:separator/>
      </w:r>
    </w:p>
  </w:footnote>
  <w:footnote w:type="continuationSeparator" w:id="0">
    <w:p w:rsidR="004A54ED" w:rsidRDefault="004A54ED">
      <w:r>
        <w:continuationSeparator/>
      </w:r>
    </w:p>
  </w:footnote>
  <w:footnote w:id="1">
    <w:p w:rsidR="009025F8" w:rsidRDefault="00CC6C67">
      <w:pPr>
        <w:pStyle w:val="FootnoteText"/>
        <w:jc w:val="both"/>
        <w:rPr>
          <w:lang w:val="sr-Latn-RS"/>
        </w:rPr>
      </w:pPr>
      <w:r>
        <w:rPr>
          <w:rStyle w:val="FootnoteReference"/>
        </w:rPr>
        <w:footnoteRef/>
      </w:r>
      <w:r>
        <w:t xml:space="preserve"> Fiziokratizam je ekonomska teorija razvijena u Francuskoj tokom XVIII veka koja je smatrala da se izvori bogatstva i ekonomskog razvoja nalaze u poljoprivrednoj aktivnosti. Nastala je kao oštra reakcija na merkantilizam. Najznačajniji predstavnik fiziokratizma, pored Fransoa Keneja, bio je Žak Tirgo. Fiziokrati su smatrali da je prirodni poredak zasnovan na nepromjenjivim prirodnim zakonima i kao takav je najbolji i najracionalniji. Zbog toga, po ugledu na njega, trebalo je ustanoviti i poredak u društvu i privredi. Kao što priroda ima svoje samoregulativne mehanizme, i u društevnom i u ekonomskom poretku, ustanovljenim po ugledu na prirodne zakone, takođe postoje samoregulativni mehanizmi. Zbog toga su fiziokrati smatrali kako svako uplitanje države u takav poredak može samo smetati i praviti štetu, te su zastupali tezu da ekonomski život treba prepustiti ekonomskim zakonitostima i ekonomskoj slobodi</w:t>
      </w:r>
    </w:p>
  </w:footnote>
  <w:footnote w:id="2">
    <w:p w:rsidR="009025F8" w:rsidRDefault="00CC6C67">
      <w:pPr>
        <w:pStyle w:val="FootnoteText"/>
        <w:jc w:val="both"/>
        <w:rPr>
          <w:lang w:val="sr-Latn-RS"/>
        </w:rPr>
      </w:pPr>
      <w:r>
        <w:rPr>
          <w:rStyle w:val="FootnoteReference"/>
        </w:rPr>
        <w:footnoteRef/>
      </w:r>
      <w:r>
        <w:t xml:space="preserve"> </w:t>
      </w:r>
      <w:r>
        <w:rPr>
          <w:lang w:val="sr-Latn-RS"/>
        </w:rPr>
        <w:t>Garzon, I., 2006, The MacSharry Reform (1992), In: Reforming the Common Agricultural Policy, Palgrave Studies in European Union Politics, Palgrave Macmillian, London;</w:t>
      </w:r>
    </w:p>
  </w:footnote>
  <w:footnote w:id="3">
    <w:p w:rsidR="009025F8" w:rsidRDefault="00CC6C67">
      <w:pPr>
        <w:pStyle w:val="FootnoteText"/>
        <w:jc w:val="both"/>
        <w:rPr>
          <w:lang w:val="sr-Latn-RS"/>
        </w:rPr>
      </w:pPr>
      <w:r>
        <w:rPr>
          <w:rStyle w:val="FootnoteReference"/>
        </w:rPr>
        <w:footnoteRef/>
      </w:r>
      <w:r>
        <w:t xml:space="preserve"> </w:t>
      </w:r>
      <w:r>
        <w:rPr>
          <w:lang w:val="sr-Latn-RS"/>
        </w:rPr>
        <w:t>Tržišno cenovna politika je podrška tržišnim cenama iz perioda pre prve reforme(MacSharyy) kada se ZPP temeljio na protekcionizmu. Danas se uglavnom odnosi na tržišne radove.</w:t>
      </w:r>
    </w:p>
  </w:footnote>
  <w:footnote w:id="4">
    <w:p w:rsidR="009025F8" w:rsidRDefault="00CC6C67">
      <w:pPr>
        <w:pStyle w:val="FootnoteText"/>
        <w:jc w:val="both"/>
      </w:pPr>
      <w:r>
        <w:rPr>
          <w:rStyle w:val="FootnoteReference"/>
        </w:rPr>
        <w:footnoteRef/>
      </w:r>
      <w:r>
        <w:t xml:space="preserve"> </w:t>
      </w:r>
      <w:r>
        <w:rPr>
          <w:lang w:val="sr-Latn-RS"/>
        </w:rPr>
        <w:t>Garzon, I., 2006, The MacSharry Reform (1992), In: Reforming the Common Agricultural Policy, Palgrave Studies in European Union Politics, Palgrave Macmillian, London;</w:t>
      </w:r>
    </w:p>
  </w:footnote>
  <w:footnote w:id="5">
    <w:p w:rsidR="009025F8" w:rsidRDefault="00CC6C67">
      <w:pPr>
        <w:pStyle w:val="FootnoteText"/>
        <w:jc w:val="both"/>
        <w:rPr>
          <w:lang w:val="sr-Latn-RS"/>
        </w:rPr>
      </w:pPr>
      <w:r>
        <w:rPr>
          <w:rStyle w:val="FootnoteReference"/>
        </w:rPr>
        <w:footnoteRef/>
      </w:r>
      <w:r>
        <w:t xml:space="preserve"> </w:t>
      </w:r>
      <w:r>
        <w:rPr>
          <w:lang w:val="sr-Latn-RS"/>
        </w:rPr>
        <w:t>Članice WTO-a od 2001. učestvuju u krugu multilateralnih trgovinskih pregovora-,,krug pregovora iz Dohe“ ili Razvojni program iz Dohe (DAA – Doha Development Agrenda). Cilj je pregovora iz Dohe da države u razvoju preuzmu veću ulogu, mogućnost da ostvaruju veću korist od međunarodne trgovine i da im se pomogne u borbi protiv siromaštva. Osim pitanja poljoprivrede, raspravljanse o nekomercijalnim pitanjima – zaštita okoline,prehrambena sigurnost,ruralni razvoj, blagostanje životinja itd. Pregovori su još u toku i nastoji se postići daljnja liberalizacija trgovine kao i u prethodnim rundama pregovora ( Evropski parlament, 2020.)</w:t>
      </w:r>
    </w:p>
  </w:footnote>
  <w:footnote w:id="6">
    <w:p w:rsidR="009025F8" w:rsidRDefault="00CC6C67">
      <w:pPr>
        <w:pStyle w:val="FootnoteText"/>
        <w:jc w:val="both"/>
        <w:rPr>
          <w:lang w:val="sr-Latn-RS"/>
        </w:rPr>
      </w:pPr>
      <w:r>
        <w:rPr>
          <w:rStyle w:val="FootnoteReference"/>
        </w:rPr>
        <w:footnoteRef/>
      </w:r>
      <w:r>
        <w:t xml:space="preserve"> </w:t>
      </w:r>
      <w:r>
        <w:rPr>
          <w:lang w:val="sr-Latn-RS"/>
        </w:rPr>
        <w:t>Volk, T., 2004, Uticaj agrarne politike na razvoj poljoprivrede Slovenije u periodu tranzicije i uključenja u Evropsku Uniju, Društvo agrarnih ekonomista Slovenije, Društvo agrarnih ekonomista Srbije, Domžale;</w:t>
      </w:r>
    </w:p>
  </w:footnote>
  <w:footnote w:id="7">
    <w:p w:rsidR="009025F8" w:rsidRDefault="00CC6C67">
      <w:pPr>
        <w:pStyle w:val="FootnoteText"/>
        <w:jc w:val="both"/>
        <w:rPr>
          <w:lang w:val="sr-Latn-RS"/>
        </w:rPr>
      </w:pPr>
      <w:r>
        <w:rPr>
          <w:rStyle w:val="FootnoteReference"/>
        </w:rPr>
        <w:footnoteRef/>
      </w:r>
      <w:r>
        <w:t xml:space="preserve"> </w:t>
      </w:r>
      <w:r>
        <w:rPr>
          <w:lang w:val="sr-Latn-RS"/>
        </w:rPr>
        <w:t>Council Regulation (EC) No.1257/1999 of  17 May 1999 on support for rural development from the European Agricultural Guidance and Guarantee Fund(EAGGF) and amending and repeailing certain Regulations, OJ L 160, 26.6.1999, p. 80-109, Art. 35.</w:t>
      </w:r>
    </w:p>
  </w:footnote>
  <w:footnote w:id="8">
    <w:p w:rsidR="009025F8" w:rsidRDefault="00CC6C67">
      <w:pPr>
        <w:pStyle w:val="FootnoteText"/>
        <w:jc w:val="both"/>
        <w:rPr>
          <w:lang w:val="sr-Latn-RS"/>
        </w:rPr>
      </w:pPr>
      <w:r>
        <w:rPr>
          <w:rStyle w:val="FootnoteReference"/>
        </w:rPr>
        <w:footnoteRef/>
      </w:r>
      <w:r>
        <w:t xml:space="preserve"> European Commission (2018). Proposal for a Regulation of the European Parliament and of the Council amending Regulations (EU) No 1308/2013 establishing a common organisation of the markets in agricultural products, (EU) No 1151/2012 on quality schemes for agricultural products and foodstuffs, (EU) No 251/2014 on the definition, description, presentation, labelling and the protection of geographical indications of aromatised wine products, (EU) No 228/2013 laying down specific measures for agriculture in the outermost regions of the Union and (EU) No 229/2013 laying down specific measures for agriculture in favour of the smaller Aegean islands, COM</w:t>
      </w:r>
      <w:r>
        <w:rPr>
          <w:lang w:val="sr-Latn-RS"/>
        </w:rPr>
        <w:t xml:space="preserve">  (</w:t>
      </w:r>
      <w:r>
        <w:t>2018)</w:t>
      </w:r>
      <w:r>
        <w:rPr>
          <w:lang w:val="sr-Latn-RS"/>
        </w:rPr>
        <w:t xml:space="preserve"> </w:t>
      </w:r>
      <w:r>
        <w:t>394</w:t>
      </w:r>
      <w:r>
        <w:rPr>
          <w:lang w:val="sr-Latn-RS"/>
        </w:rPr>
        <w:t>;</w:t>
      </w:r>
    </w:p>
  </w:footnote>
  <w:footnote w:id="9">
    <w:p w:rsidR="009025F8" w:rsidRDefault="00CC6C67">
      <w:pPr>
        <w:pStyle w:val="FootnoteText"/>
        <w:jc w:val="both"/>
        <w:rPr>
          <w:lang w:val="sr-Latn-RS"/>
        </w:rPr>
      </w:pPr>
      <w:r>
        <w:rPr>
          <w:rStyle w:val="FootnoteReference"/>
        </w:rPr>
        <w:footnoteRef/>
      </w:r>
      <w:r>
        <w:t xml:space="preserve"> </w:t>
      </w:r>
      <w:r>
        <w:rPr>
          <w:lang w:val="sr-Latn-RS"/>
        </w:rPr>
        <w:t>Đurić, K., 2020, Stanje i perspektive poljoprivrednog savetodavstva u Republici Srbiji, monografija, Poljoprivredni fakultet, Novi Sad;</w:t>
      </w:r>
    </w:p>
  </w:footnote>
  <w:footnote w:id="10">
    <w:p w:rsidR="009025F8" w:rsidRDefault="00CC6C67">
      <w:pPr>
        <w:pStyle w:val="FootnoteText"/>
        <w:rPr>
          <w:lang w:val="sr-Latn-RS"/>
        </w:rPr>
      </w:pPr>
      <w:r>
        <w:rPr>
          <w:rStyle w:val="FootnoteReference"/>
        </w:rPr>
        <w:footnoteRef/>
      </w:r>
      <w:r>
        <w:t xml:space="preserve"> </w:t>
      </w:r>
      <w:r>
        <w:rPr>
          <w:lang w:val="sr-Latn-RS"/>
        </w:rPr>
        <w:t>Zakić, Z., Stojanović, Ž., 2007, Pregled mesta poljoprivrede u teoriji privrednog razvoja u: Rikalović, G., Devetaković, S., Ekonomska politika i razvoj, Ekonomski fakultet, Beograd;</w:t>
      </w:r>
    </w:p>
  </w:footnote>
  <w:footnote w:id="11">
    <w:p w:rsidR="009025F8" w:rsidRDefault="00CC6C67">
      <w:pPr>
        <w:pStyle w:val="FootnoteText"/>
        <w:jc w:val="both"/>
        <w:rPr>
          <w:lang w:val="sr-Latn-RS"/>
        </w:rPr>
      </w:pPr>
      <w:r>
        <w:rPr>
          <w:rStyle w:val="FootnoteReference"/>
        </w:rPr>
        <w:footnoteRef/>
      </w:r>
      <w:r>
        <w:t xml:space="preserve"> </w:t>
      </w:r>
      <w:r>
        <w:rPr>
          <w:lang w:val="sr-Latn-RS"/>
        </w:rPr>
        <w:t>Daugbjerg, C., 1999, Reforming the CAP: policy networks and broader institutional structures, Journal of Common Market Studies 37 (3), str.. 407-428, Serger, S.S., 2001, Negotiating CAP Reform in the European Union – Agenda 2000, Report 2001: 4, Lund: Swedich Institute for Food and Agricultural Economics;</w:t>
      </w:r>
    </w:p>
  </w:footnote>
  <w:footnote w:id="12">
    <w:p w:rsidR="009025F8" w:rsidRDefault="00CC6C67">
      <w:pPr>
        <w:pStyle w:val="FootnoteText"/>
        <w:jc w:val="both"/>
        <w:rPr>
          <w:lang w:val="sr-Latn-RS"/>
        </w:rPr>
      </w:pPr>
      <w:r>
        <w:rPr>
          <w:rStyle w:val="FootnoteReference"/>
        </w:rPr>
        <w:footnoteRef/>
      </w:r>
      <w:r>
        <w:t xml:space="preserve"> </w:t>
      </w:r>
      <w:r>
        <w:rPr>
          <w:lang w:val="sr-Latn-RS"/>
        </w:rPr>
        <w:t>Kay, A., 2003, Path dependencz and the CAP, Journal of European Public Policy  10 (3), str. 405-420;</w:t>
      </w:r>
    </w:p>
  </w:footnote>
  <w:footnote w:id="13">
    <w:p w:rsidR="009025F8" w:rsidRDefault="00CC6C67">
      <w:pPr>
        <w:pStyle w:val="FootnoteText"/>
        <w:jc w:val="both"/>
        <w:rPr>
          <w:lang w:val="sr-Latn-RS"/>
        </w:rPr>
      </w:pPr>
      <w:r>
        <w:rPr>
          <w:rStyle w:val="FootnoteReference"/>
        </w:rPr>
        <w:footnoteRef/>
      </w:r>
      <w:r>
        <w:t xml:space="preserve"> </w:t>
      </w:r>
      <w:r>
        <w:rPr>
          <w:lang w:val="sr-Latn-RS"/>
        </w:rPr>
        <w:t>Prokopijević, M., 2009, Evropska unija, Službeni glasnik, Beograd, str. 347.;</w:t>
      </w:r>
    </w:p>
  </w:footnote>
  <w:footnote w:id="14">
    <w:p w:rsidR="009025F8" w:rsidRDefault="00CC6C67">
      <w:pPr>
        <w:pStyle w:val="FootnoteText"/>
        <w:jc w:val="both"/>
        <w:rPr>
          <w:lang w:val="sr-Latn-RS"/>
        </w:rPr>
      </w:pPr>
      <w:r>
        <w:rPr>
          <w:rStyle w:val="FootnoteReference"/>
        </w:rPr>
        <w:footnoteRef/>
      </w:r>
      <w:r>
        <w:t xml:space="preserve"> </w:t>
      </w:r>
      <w:r>
        <w:rPr>
          <w:lang w:val="sr-Latn-RS"/>
        </w:rPr>
        <w:t>Bulletin of the European Communities, No.3/1985, tačke 1.2.11, 2.1.22 i 2.2.12.;</w:t>
      </w:r>
    </w:p>
  </w:footnote>
  <w:footnote w:id="15">
    <w:p w:rsidR="009025F8" w:rsidRDefault="00CC6C67">
      <w:pPr>
        <w:pStyle w:val="FootnoteText"/>
        <w:jc w:val="both"/>
        <w:rPr>
          <w:lang w:val="sr-Latn-RS"/>
        </w:rPr>
      </w:pPr>
      <w:r>
        <w:rPr>
          <w:rStyle w:val="FootnoteReference"/>
        </w:rPr>
        <w:footnoteRef/>
      </w:r>
      <w:r>
        <w:t xml:space="preserve"> </w:t>
      </w:r>
      <w:r>
        <w:rPr>
          <w:lang w:val="sr-Latn-RS"/>
        </w:rPr>
        <w:t>Sarker, R., Jayasinghe, S., 2007, Refional trade agreements and trade in agri-food products: evidence for European Union from gravity modeling using disaggregated data, Agricultural Economics 37, str. 95;</w:t>
      </w:r>
    </w:p>
  </w:footnote>
  <w:footnote w:id="16">
    <w:p w:rsidR="009025F8" w:rsidRDefault="00CC6C67">
      <w:pPr>
        <w:pStyle w:val="FootnoteText"/>
        <w:rPr>
          <w:lang w:val="sr-Latn-RS"/>
        </w:rPr>
      </w:pPr>
      <w:r>
        <w:rPr>
          <w:rStyle w:val="FootnoteReference"/>
        </w:rPr>
        <w:footnoteRef/>
      </w:r>
      <w:r>
        <w:t xml:space="preserve"> </w:t>
      </w:r>
      <w:r>
        <w:rPr>
          <w:lang w:val="sr-Latn-RS"/>
        </w:rPr>
        <w:t xml:space="preserve">Hiks, S., 2007, Politički sistem Evropske unije, Službeni glasnik, Beograd, str. 269.;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8B3338"/>
    <w:multiLevelType w:val="singleLevel"/>
    <w:tmpl w:val="CF8B3338"/>
    <w:lvl w:ilvl="0">
      <w:start w:val="1"/>
      <w:numFmt w:val="decimal"/>
      <w:suff w:val="space"/>
      <w:lvlText w:val="%1)"/>
      <w:lvlJc w:val="left"/>
    </w:lvl>
  </w:abstractNum>
  <w:abstractNum w:abstractNumId="1" w15:restartNumberingAfterBreak="0">
    <w:nsid w:val="1F4CC17E"/>
    <w:multiLevelType w:val="singleLevel"/>
    <w:tmpl w:val="1F4CC17E"/>
    <w:lvl w:ilvl="0">
      <w:start w:val="1"/>
      <w:numFmt w:val="decimal"/>
      <w:lvlText w:val="%1."/>
      <w:lvlJc w:val="left"/>
      <w:pPr>
        <w:tabs>
          <w:tab w:val="left" w:pos="425"/>
        </w:tabs>
        <w:ind w:left="425" w:hanging="425"/>
      </w:pPr>
      <w:rPr>
        <w:rFonts w:hint="default"/>
      </w:rPr>
    </w:lvl>
  </w:abstractNum>
  <w:abstractNum w:abstractNumId="2" w15:restartNumberingAfterBreak="0">
    <w:nsid w:val="5C65598D"/>
    <w:multiLevelType w:val="multilevel"/>
    <w:tmpl w:val="5C65598D"/>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9062C0"/>
    <w:rsid w:val="004156EB"/>
    <w:rsid w:val="00496C01"/>
    <w:rsid w:val="004A54ED"/>
    <w:rsid w:val="00793455"/>
    <w:rsid w:val="008259F2"/>
    <w:rsid w:val="009025F8"/>
    <w:rsid w:val="009C2B14"/>
    <w:rsid w:val="00CC6C67"/>
    <w:rsid w:val="00FE3154"/>
    <w:rsid w:val="40906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6928AF"/>
  <w15:docId w15:val="{7ECAA676-8BF9-47ED-894F-7CD6CFF0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Times New Roman" w:eastAsia="SimSun" w:hAnsi="Times New Roman" w:cs="Times New Roman"/>
      <w:kern w:val="2"/>
      <w:sz w:val="21"/>
    </w:rPr>
  </w:style>
  <w:style w:type="paragraph" w:styleId="Heading1">
    <w:name w:val="heading 1"/>
    <w:basedOn w:val="Normal"/>
    <w:next w:val="Normal"/>
    <w:link w:val="Heading1Char"/>
    <w:qFormat/>
    <w:pPr>
      <w:keepNext/>
      <w:keepLines/>
      <w:spacing w:before="340" w:after="330" w:line="578" w:lineRule="auto"/>
      <w:jc w:val="center"/>
      <w:outlineLvl w:val="0"/>
    </w:pPr>
    <w:rPr>
      <w:b/>
      <w:bCs/>
      <w:kern w:val="44"/>
      <w:sz w:val="2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qFormat/>
    <w:rPr>
      <w:vertAlign w:val="superscript"/>
    </w:rPr>
  </w:style>
  <w:style w:type="paragraph" w:styleId="FootnoteText">
    <w:name w:val="footnote text"/>
    <w:basedOn w:val="Normal"/>
    <w:qFormat/>
    <w:pPr>
      <w:snapToGrid w:val="0"/>
      <w:jc w:val="left"/>
    </w:pPr>
    <w:rPr>
      <w:sz w:val="18"/>
      <w:szCs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b/>
      <w:bCs/>
      <w:kern w:val="44"/>
      <w:sz w:val="24"/>
      <w:szCs w:val="44"/>
    </w:rPr>
  </w:style>
  <w:style w:type="paragraph" w:styleId="ListParagraph">
    <w:name w:val="List Paragraph"/>
    <w:basedOn w:val="Normal"/>
    <w:uiPriority w:val="99"/>
    <w:qFormat/>
    <w:pPr>
      <w:ind w:left="720"/>
      <w:contextualSpacing/>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3483</Words>
  <Characters>19859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5</cp:revision>
  <dcterms:created xsi:type="dcterms:W3CDTF">2023-06-05T09:27:00Z</dcterms:created>
  <dcterms:modified xsi:type="dcterms:W3CDTF">2023-06-06T13:45:00Z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F9C4F68A56814DC488A4A0F081D3A910</vt:lpwstr>
  </property>
</Properties>
</file>