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838EE" w14:textId="77777777" w:rsidR="00140D9D" w:rsidRDefault="00140D9D" w:rsidP="00140D9D">
      <w:pPr>
        <w:jc w:val="center"/>
      </w:pPr>
      <w:r w:rsidRPr="00AB084E">
        <w:rPr>
          <w:noProof/>
          <w:lang w:val="en-US"/>
        </w:rPr>
        <mc:AlternateContent>
          <mc:Choice Requires="wps">
            <w:drawing>
              <wp:anchor distT="0" distB="0" distL="114300" distR="114300" simplePos="0" relativeHeight="251661312" behindDoc="0" locked="0" layoutInCell="1" allowOverlap="1" wp14:anchorId="5BDB3C7B" wp14:editId="04AC119B">
                <wp:simplePos x="0" y="0"/>
                <wp:positionH relativeFrom="page">
                  <wp:posOffset>711835</wp:posOffset>
                </wp:positionH>
                <wp:positionV relativeFrom="page">
                  <wp:posOffset>742950</wp:posOffset>
                </wp:positionV>
                <wp:extent cx="6123940" cy="3651250"/>
                <wp:effectExtent l="0" t="0" r="10160" b="8890"/>
                <wp:wrapSquare wrapText="bothSides"/>
                <wp:docPr id="111" name="Text Box 111"/>
                <wp:cNvGraphicFramePr/>
                <a:graphic xmlns:a="http://schemas.openxmlformats.org/drawingml/2006/main">
                  <a:graphicData uri="http://schemas.microsoft.com/office/word/2010/wordprocessingShape">
                    <wps:wsp>
                      <wps:cNvSpPr txBox="1"/>
                      <wps:spPr>
                        <a:xfrm>
                          <a:off x="0" y="0"/>
                          <a:ext cx="612394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F3C45D" w14:textId="77777777" w:rsidR="00140D9D" w:rsidRPr="00143927" w:rsidRDefault="00140D9D" w:rsidP="00140D9D">
                            <w:pPr>
                              <w:pStyle w:val="NoSpacing"/>
                              <w:jc w:val="center"/>
                              <w:rPr>
                                <w:rFonts w:ascii="Times New Roman" w:hAnsi="Times New Roman" w:cs="Times New Roman"/>
                                <w:b/>
                                <w:caps/>
                                <w:color w:val="434959" w:themeColor="text2" w:themeShade="BF"/>
                                <w:sz w:val="28"/>
                                <w:szCs w:val="40"/>
                              </w:rPr>
                            </w:pPr>
                            <w:r w:rsidRPr="00143927">
                              <w:rPr>
                                <w:rFonts w:ascii="Times New Roman" w:hAnsi="Times New Roman" w:cs="Times New Roman"/>
                                <w:b/>
                                <w:color w:val="434959" w:themeColor="text2" w:themeShade="BF"/>
                                <w:sz w:val="28"/>
                                <w:szCs w:val="40"/>
                              </w:rPr>
                              <w:t xml:space="preserve">Универзитет </w:t>
                            </w:r>
                            <w:r>
                              <w:rPr>
                                <w:rFonts w:ascii="Times New Roman" w:hAnsi="Times New Roman" w:cs="Times New Roman"/>
                                <w:b/>
                                <w:color w:val="434959" w:themeColor="text2" w:themeShade="BF"/>
                                <w:sz w:val="28"/>
                                <w:szCs w:val="40"/>
                              </w:rPr>
                              <w:t xml:space="preserve">у </w:t>
                            </w:r>
                            <w:r w:rsidR="005B19F0">
                              <w:rPr>
                                <w:rFonts w:ascii="Times New Roman" w:hAnsi="Times New Roman" w:cs="Times New Roman"/>
                                <w:b/>
                                <w:color w:val="434959" w:themeColor="text2" w:themeShade="BF"/>
                                <w:sz w:val="28"/>
                                <w:szCs w:val="40"/>
                              </w:rPr>
                              <w:t>Новом Саду</w:t>
                            </w:r>
                          </w:p>
                          <w:p w14:paraId="672A6659" w14:textId="77777777" w:rsidR="00140D9D" w:rsidRPr="00143927" w:rsidRDefault="00140D9D" w:rsidP="00140D9D">
                            <w:pPr>
                              <w:pStyle w:val="NoSpacing"/>
                              <w:jc w:val="center"/>
                              <w:rPr>
                                <w:rFonts w:ascii="Times New Roman" w:hAnsi="Times New Roman" w:cs="Times New Roman"/>
                                <w:b/>
                                <w:caps/>
                                <w:color w:val="434959" w:themeColor="text2" w:themeShade="BF"/>
                                <w:sz w:val="28"/>
                                <w:szCs w:val="40"/>
                              </w:rPr>
                            </w:pPr>
                          </w:p>
                          <w:p w14:paraId="511A00C7" w14:textId="77777777" w:rsidR="00140D9D" w:rsidRPr="00143927" w:rsidRDefault="005B19F0" w:rsidP="00140D9D">
                            <w:pPr>
                              <w:pStyle w:val="NoSpacing"/>
                              <w:jc w:val="center"/>
                              <w:rPr>
                                <w:rFonts w:ascii="Times New Roman" w:hAnsi="Times New Roman" w:cs="Times New Roman"/>
                                <w:b/>
                                <w:caps/>
                                <w:color w:val="434959" w:themeColor="text2" w:themeShade="BF"/>
                                <w:sz w:val="28"/>
                                <w:szCs w:val="40"/>
                              </w:rPr>
                            </w:pPr>
                            <w:r>
                              <w:rPr>
                                <w:rFonts w:ascii="Times New Roman" w:hAnsi="Times New Roman" w:cs="Times New Roman"/>
                                <w:b/>
                                <w:caps/>
                                <w:color w:val="434959" w:themeColor="text2" w:themeShade="BF"/>
                                <w:sz w:val="28"/>
                                <w:szCs w:val="40"/>
                              </w:rPr>
                              <w:t>Економски факултет у суботици</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0</wp14:pctWidth>
                </wp14:sizeRelH>
                <wp14:sizeRelV relativeFrom="page">
                  <wp14:pctHeight>36300</wp14:pctHeight>
                </wp14:sizeRelV>
              </wp:anchor>
            </w:drawing>
          </mc:Choice>
          <mc:Fallback>
            <w:pict>
              <v:shapetype w14:anchorId="5BDB3C7B" id="_x0000_t202" coordsize="21600,21600" o:spt="202" path="m,l,21600r21600,l21600,xe">
                <v:stroke joinstyle="miter"/>
                <v:path gradientshapeok="t" o:connecttype="rect"/>
              </v:shapetype>
              <v:shape id="Text Box 111" o:spid="_x0000_s1026" type="#_x0000_t202" style="position:absolute;left:0;text-align:left;margin-left:56.05pt;margin-top:58.5pt;width:482.2pt;height:287.5pt;z-index:251661312;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" filled="f" stroked="f" strokeweight=".5pt">
                <v:textbox style="mso-fit-shape-to-text:t" inset="0,0,0,0">
                  <w:txbxContent>
                    <w:p w14:paraId="48F3C45D" w14:textId="77777777" w:rsidR="00140D9D" w:rsidRPr="00143927" w:rsidRDefault="00140D9D" w:rsidP="00140D9D">
                      <w:pPr>
                        <w:pStyle w:val="NoSpacing"/>
                        <w:jc w:val="center"/>
                        <w:rPr>
                          <w:rFonts w:ascii="Times New Roman" w:hAnsi="Times New Roman" w:cs="Times New Roman"/>
                          <w:b/>
                          <w:caps/>
                          <w:color w:val="434959" w:themeColor="text2" w:themeShade="BF"/>
                          <w:sz w:val="28"/>
                          <w:szCs w:val="40"/>
                        </w:rPr>
                      </w:pPr>
                      <w:r w:rsidRPr="00143927">
                        <w:rPr>
                          <w:rFonts w:ascii="Times New Roman" w:hAnsi="Times New Roman" w:cs="Times New Roman"/>
                          <w:b/>
                          <w:color w:val="434959" w:themeColor="text2" w:themeShade="BF"/>
                          <w:sz w:val="28"/>
                          <w:szCs w:val="40"/>
                        </w:rPr>
                        <w:t xml:space="preserve">Универзитет </w:t>
                      </w:r>
                      <w:r>
                        <w:rPr>
                          <w:rFonts w:ascii="Times New Roman" w:hAnsi="Times New Roman" w:cs="Times New Roman"/>
                          <w:b/>
                          <w:color w:val="434959" w:themeColor="text2" w:themeShade="BF"/>
                          <w:sz w:val="28"/>
                          <w:szCs w:val="40"/>
                        </w:rPr>
                        <w:t xml:space="preserve">у </w:t>
                      </w:r>
                      <w:r w:rsidR="005B19F0">
                        <w:rPr>
                          <w:rFonts w:ascii="Times New Roman" w:hAnsi="Times New Roman" w:cs="Times New Roman"/>
                          <w:b/>
                          <w:color w:val="434959" w:themeColor="text2" w:themeShade="BF"/>
                          <w:sz w:val="28"/>
                          <w:szCs w:val="40"/>
                        </w:rPr>
                        <w:t>Новом Саду</w:t>
                      </w:r>
                    </w:p>
                    <w:p w14:paraId="672A6659" w14:textId="77777777" w:rsidR="00140D9D" w:rsidRPr="00143927" w:rsidRDefault="00140D9D" w:rsidP="00140D9D">
                      <w:pPr>
                        <w:pStyle w:val="NoSpacing"/>
                        <w:jc w:val="center"/>
                        <w:rPr>
                          <w:rFonts w:ascii="Times New Roman" w:hAnsi="Times New Roman" w:cs="Times New Roman"/>
                          <w:b/>
                          <w:caps/>
                          <w:color w:val="434959" w:themeColor="text2" w:themeShade="BF"/>
                          <w:sz w:val="28"/>
                          <w:szCs w:val="40"/>
                        </w:rPr>
                      </w:pPr>
                    </w:p>
                    <w:p w14:paraId="511A00C7" w14:textId="77777777" w:rsidR="00140D9D" w:rsidRPr="00143927" w:rsidRDefault="005B19F0" w:rsidP="00140D9D">
                      <w:pPr>
                        <w:pStyle w:val="NoSpacing"/>
                        <w:jc w:val="center"/>
                        <w:rPr>
                          <w:rFonts w:ascii="Times New Roman" w:hAnsi="Times New Roman" w:cs="Times New Roman"/>
                          <w:b/>
                          <w:caps/>
                          <w:color w:val="434959" w:themeColor="text2" w:themeShade="BF"/>
                          <w:sz w:val="28"/>
                          <w:szCs w:val="40"/>
                        </w:rPr>
                      </w:pPr>
                      <w:r>
                        <w:rPr>
                          <w:rFonts w:ascii="Times New Roman" w:hAnsi="Times New Roman" w:cs="Times New Roman"/>
                          <w:b/>
                          <w:caps/>
                          <w:color w:val="434959" w:themeColor="text2" w:themeShade="BF"/>
                          <w:sz w:val="28"/>
                          <w:szCs w:val="40"/>
                        </w:rPr>
                        <w:t>Економски факултет у суботици</w:t>
                      </w:r>
                    </w:p>
                  </w:txbxContent>
                </v:textbox>
                <w10:wrap type="square" anchorx="page" anchory="page"/>
              </v:shape>
            </w:pict>
          </mc:Fallback>
        </mc:AlternateContent>
      </w:r>
    </w:p>
    <w:p w14:paraId="5DAB6C7B" w14:textId="77777777" w:rsidR="00140D9D" w:rsidRDefault="005B19F0" w:rsidP="00140D9D">
      <w:pPr>
        <w:jc w:val="center"/>
      </w:pPr>
      <w:r w:rsidRPr="005B19F0">
        <w:rPr>
          <w:noProof/>
          <w:lang w:val="en-US"/>
        </w:rPr>
        <w:drawing>
          <wp:inline distT="0" distB="0" distL="0" distR="0" wp14:anchorId="36E48A0D" wp14:editId="7890F41A">
            <wp:extent cx="3788229" cy="1986564"/>
            <wp:effectExtent l="0" t="0" r="3175" b="0"/>
            <wp:docPr id="4" name="Slika 4" descr="Економски факултет у Суботици - Универзитет у Новом Саду - Ekonomski  fakultet u Suboti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кономски факултет у Суботици - Универзитет у Новом Саду - Ekonomski  fakultet u Subotic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9707" cy="1987339"/>
                    </a:xfrm>
                    <a:prstGeom prst="rect">
                      <a:avLst/>
                    </a:prstGeom>
                    <a:noFill/>
                    <a:ln>
                      <a:noFill/>
                    </a:ln>
                  </pic:spPr>
                </pic:pic>
              </a:graphicData>
            </a:graphic>
          </wp:inline>
        </w:drawing>
      </w:r>
    </w:p>
    <w:p w14:paraId="53A5520D" w14:textId="77777777" w:rsidR="00140D9D" w:rsidRDefault="00140D9D" w:rsidP="00140D9D">
      <w:pPr>
        <w:jc w:val="center"/>
      </w:pPr>
      <w:r w:rsidRPr="00AB084E">
        <w:rPr>
          <w:noProof/>
          <w:lang w:val="en-US"/>
        </w:rPr>
        <mc:AlternateContent>
          <mc:Choice Requires="wps">
            <w:drawing>
              <wp:anchor distT="0" distB="0" distL="114300" distR="114300" simplePos="0" relativeHeight="251667456" behindDoc="0" locked="0" layoutInCell="1" allowOverlap="1" wp14:anchorId="6B14029C" wp14:editId="79B4FC86">
                <wp:simplePos x="0" y="0"/>
                <wp:positionH relativeFrom="margin">
                  <wp:posOffset>-209550</wp:posOffset>
                </wp:positionH>
                <wp:positionV relativeFrom="margin">
                  <wp:posOffset>8330565</wp:posOffset>
                </wp:positionV>
                <wp:extent cx="6305550" cy="78359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05550" cy="783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EE9247" w14:textId="77777777" w:rsidR="00140D9D" w:rsidRPr="00361D92" w:rsidRDefault="005B19F0" w:rsidP="00140D9D">
                            <w:pPr>
                              <w:pStyle w:val="NoSpacing"/>
                              <w:jc w:val="center"/>
                              <w:rPr>
                                <w:caps/>
                                <w:color w:val="262626" w:themeColor="text1" w:themeTint="D9"/>
                                <w:szCs w:val="20"/>
                              </w:rPr>
                            </w:pPr>
                            <w:r>
                              <w:rPr>
                                <w:rFonts w:ascii="Times New Roman" w:hAnsi="Times New Roman" w:cs="Times New Roman"/>
                                <w:b/>
                                <w:color w:val="262626" w:themeColor="text1" w:themeTint="D9"/>
                                <w:sz w:val="32"/>
                                <w:szCs w:val="28"/>
                              </w:rPr>
                              <w:t>Суботица</w:t>
                            </w:r>
                            <w:r w:rsidR="00140D9D">
                              <w:rPr>
                                <w:rFonts w:ascii="Times New Roman" w:hAnsi="Times New Roman" w:cs="Times New Roman"/>
                                <w:b/>
                                <w:color w:val="262626" w:themeColor="text1" w:themeTint="D9"/>
                                <w:sz w:val="32"/>
                                <w:szCs w:val="28"/>
                              </w:rPr>
                              <w:t>, 2023</w:t>
                            </w:r>
                            <w:r w:rsidR="00140D9D" w:rsidRPr="00361D92">
                              <w:rPr>
                                <w:rFonts w:ascii="Times New Roman" w:hAnsi="Times New Roman" w:cs="Times New Roman"/>
                                <w:b/>
                                <w:color w:val="262626" w:themeColor="text1" w:themeTint="D9"/>
                                <w:sz w:val="32"/>
                                <w:szCs w:val="28"/>
                              </w:rPr>
                              <w:t>.</w:t>
                            </w:r>
                          </w:p>
                          <w:p w14:paraId="02EB378F" w14:textId="77777777" w:rsidR="00140D9D" w:rsidRDefault="00140D9D" w:rsidP="00140D9D">
                            <w:pPr>
                              <w:pStyle w:val="NoSpacing"/>
                              <w:jc w:val="right"/>
                              <w:rPr>
                                <w:caps/>
                                <w:color w:val="262626" w:themeColor="text1" w:themeTint="D9"/>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B14029C" id="Text Box 2" o:spid="_x0000_s1027" type="#_x0000_t202" style="position:absolute;left:0;text-align:left;margin-left:-16.5pt;margin-top:655.95pt;width:496.5pt;height:6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" filled="f" stroked="f" strokeweight=".5pt">
                <v:textbox inset="0,0,0,0">
                  <w:txbxContent>
                    <w:p w14:paraId="7DEE9247" w14:textId="77777777" w:rsidR="00140D9D" w:rsidRPr="00361D92" w:rsidRDefault="005B19F0" w:rsidP="00140D9D">
                      <w:pPr>
                        <w:pStyle w:val="NoSpacing"/>
                        <w:jc w:val="center"/>
                        <w:rPr>
                          <w:caps/>
                          <w:color w:val="262626" w:themeColor="text1" w:themeTint="D9"/>
                          <w:szCs w:val="20"/>
                        </w:rPr>
                      </w:pPr>
                      <w:r>
                        <w:rPr>
                          <w:rFonts w:ascii="Times New Roman" w:hAnsi="Times New Roman" w:cs="Times New Roman"/>
                          <w:b/>
                          <w:color w:val="262626" w:themeColor="text1" w:themeTint="D9"/>
                          <w:sz w:val="32"/>
                          <w:szCs w:val="28"/>
                        </w:rPr>
                        <w:t>Суботица</w:t>
                      </w:r>
                      <w:r w:rsidR="00140D9D">
                        <w:rPr>
                          <w:rFonts w:ascii="Times New Roman" w:hAnsi="Times New Roman" w:cs="Times New Roman"/>
                          <w:b/>
                          <w:color w:val="262626" w:themeColor="text1" w:themeTint="D9"/>
                          <w:sz w:val="32"/>
                          <w:szCs w:val="28"/>
                        </w:rPr>
                        <w:t>, 2023</w:t>
                      </w:r>
                      <w:r w:rsidR="00140D9D" w:rsidRPr="00361D92">
                        <w:rPr>
                          <w:rFonts w:ascii="Times New Roman" w:hAnsi="Times New Roman" w:cs="Times New Roman"/>
                          <w:b/>
                          <w:color w:val="262626" w:themeColor="text1" w:themeTint="D9"/>
                          <w:sz w:val="32"/>
                          <w:szCs w:val="28"/>
                        </w:rPr>
                        <w:t>.</w:t>
                      </w:r>
                    </w:p>
                    <w:p w14:paraId="02EB378F" w14:textId="77777777" w:rsidR="00140D9D" w:rsidRDefault="00140D9D" w:rsidP="00140D9D">
                      <w:pPr>
                        <w:pStyle w:val="NoSpacing"/>
                        <w:jc w:val="right"/>
                        <w:rPr>
                          <w:caps/>
                          <w:color w:val="262626" w:themeColor="text1" w:themeTint="D9"/>
                          <w:sz w:val="20"/>
                          <w:szCs w:val="20"/>
                        </w:rPr>
                      </w:pPr>
                    </w:p>
                  </w:txbxContent>
                </v:textbox>
                <w10:wrap type="square" anchorx="margin" anchory="margin"/>
              </v:shape>
            </w:pict>
          </mc:Fallback>
        </mc:AlternateContent>
      </w:r>
      <w:r w:rsidRPr="00AB084E">
        <w:rPr>
          <w:noProof/>
          <w:lang w:val="en-US"/>
        </w:rPr>
        <mc:AlternateContent>
          <mc:Choice Requires="wps">
            <w:drawing>
              <wp:anchor distT="0" distB="0" distL="114300" distR="114300" simplePos="0" relativeHeight="251665408" behindDoc="0" locked="0" layoutInCell="1" allowOverlap="1" wp14:anchorId="2F48A96D" wp14:editId="1198811C">
                <wp:simplePos x="0" y="0"/>
                <wp:positionH relativeFrom="margin">
                  <wp:posOffset>-67945</wp:posOffset>
                </wp:positionH>
                <wp:positionV relativeFrom="margin">
                  <wp:posOffset>7548880</wp:posOffset>
                </wp:positionV>
                <wp:extent cx="6305550" cy="783590"/>
                <wp:effectExtent l="0" t="0" r="0" b="0"/>
                <wp:wrapSquare wrapText="bothSides"/>
                <wp:docPr id="112" name="Text Box 112"/>
                <wp:cNvGraphicFramePr/>
                <a:graphic xmlns:a="http://schemas.openxmlformats.org/drawingml/2006/main">
                  <a:graphicData uri="http://schemas.microsoft.com/office/word/2010/wordprocessingShape">
                    <wps:wsp>
                      <wps:cNvSpPr txBox="1"/>
                      <wps:spPr>
                        <a:xfrm>
                          <a:off x="0" y="0"/>
                          <a:ext cx="6305550" cy="783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E7E86" w14:textId="77777777" w:rsidR="00140D9D" w:rsidRPr="00143927" w:rsidRDefault="00140D9D" w:rsidP="00140D9D">
                            <w:pPr>
                              <w:pStyle w:val="NoSpacing"/>
                              <w:rPr>
                                <w:rFonts w:ascii="Times New Roman" w:hAnsi="Times New Roman" w:cs="Times New Roman"/>
                                <w:caps/>
                                <w:color w:val="262626" w:themeColor="text1" w:themeTint="D9"/>
                                <w:sz w:val="24"/>
                                <w:szCs w:val="24"/>
                              </w:rPr>
                            </w:pPr>
                            <w:r w:rsidRPr="00143927">
                              <w:rPr>
                                <w:rFonts w:ascii="Times New Roman" w:hAnsi="Times New Roman" w:cs="Times New Roman"/>
                                <w:b/>
                                <w:color w:val="262626" w:themeColor="text1" w:themeTint="D9"/>
                                <w:sz w:val="24"/>
                                <w:szCs w:val="24"/>
                              </w:rPr>
                              <w:t>Ментор:</w:t>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b/>
                                <w:color w:val="262626" w:themeColor="text1" w:themeTint="D9"/>
                                <w:sz w:val="24"/>
                                <w:szCs w:val="24"/>
                              </w:rPr>
                              <w:t>Студент:</w:t>
                            </w:r>
                          </w:p>
                          <w:p w14:paraId="72662A85" w14:textId="77777777" w:rsidR="00140D9D" w:rsidRPr="00EF70EC" w:rsidRDefault="00140D9D" w:rsidP="00140D9D">
                            <w:pPr>
                              <w:pStyle w:val="NoSpacing"/>
                              <w:rPr>
                                <w:rFonts w:ascii="Times New Roman" w:hAnsi="Times New Roman" w:cs="Times New Roman"/>
                                <w:color w:val="262626" w:themeColor="text1" w:themeTint="D9"/>
                                <w:sz w:val="24"/>
                                <w:szCs w:val="24"/>
                                <w:lang w:val="ru-RU"/>
                              </w:rPr>
                            </w:pPr>
                            <w:r w:rsidRPr="00143927">
                              <w:rPr>
                                <w:rFonts w:ascii="Times New Roman" w:hAnsi="Times New Roman" w:cs="Times New Roman"/>
                                <w:color w:val="262626" w:themeColor="text1" w:themeTint="D9"/>
                                <w:sz w:val="24"/>
                                <w:szCs w:val="24"/>
                              </w:rPr>
                              <w:t xml:space="preserve">Проф. </w:t>
                            </w:r>
                            <w:r w:rsidR="005B19F0">
                              <w:rPr>
                                <w:rFonts w:ascii="Times New Roman" w:hAnsi="Times New Roman" w:cs="Times New Roman"/>
                                <w:color w:val="262626" w:themeColor="text1" w:themeTint="D9"/>
                                <w:sz w:val="24"/>
                                <w:szCs w:val="24"/>
                              </w:rPr>
                              <w:t>Станислав Зекић</w:t>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005B19F0">
                              <w:rPr>
                                <w:rFonts w:ascii="Times New Roman" w:hAnsi="Times New Roman" w:cs="Times New Roman"/>
                                <w:caps/>
                                <w:color w:val="262626" w:themeColor="text1" w:themeTint="D9"/>
                                <w:sz w:val="24"/>
                                <w:szCs w:val="24"/>
                              </w:rPr>
                              <w:tab/>
                            </w:r>
                            <w:r w:rsidR="005B19F0">
                              <w:rPr>
                                <w:rFonts w:ascii="Times New Roman" w:hAnsi="Times New Roman" w:cs="Times New Roman"/>
                                <w:color w:val="262626" w:themeColor="text1" w:themeTint="D9"/>
                                <w:sz w:val="24"/>
                                <w:szCs w:val="24"/>
                              </w:rPr>
                              <w:t>Сара Милојевић</w:t>
                            </w:r>
                            <w:r w:rsidRPr="00143927">
                              <w:rPr>
                                <w:rFonts w:ascii="Times New Roman" w:hAnsi="Times New Roman" w:cs="Times New Roman"/>
                                <w:caps/>
                                <w:color w:val="262626" w:themeColor="text1" w:themeTint="D9"/>
                                <w:sz w:val="24"/>
                                <w:szCs w:val="24"/>
                              </w:rPr>
                              <w:t xml:space="preserve">, </w:t>
                            </w:r>
                            <w:r w:rsidR="005B19F0" w:rsidRPr="005B19F0">
                              <w:rPr>
                                <w:rFonts w:ascii="Times New Roman" w:hAnsi="Times New Roman" w:cs="Times New Roman"/>
                                <w:caps/>
                                <w:color w:val="262626" w:themeColor="text1" w:themeTint="D9"/>
                                <w:sz w:val="24"/>
                                <w:szCs w:val="24"/>
                                <w:lang w:val="ru-RU"/>
                              </w:rPr>
                              <w:t>EE</w:t>
                            </w:r>
                            <w:r w:rsidR="005B19F0" w:rsidRPr="005B19F0">
                              <w:rPr>
                                <w:rFonts w:ascii="Times New Roman" w:hAnsi="Times New Roman" w:cs="Times New Roman"/>
                                <w:color w:val="262626" w:themeColor="text1" w:themeTint="D9"/>
                                <w:sz w:val="24"/>
                                <w:szCs w:val="24"/>
                                <w:lang w:val="ru-RU"/>
                              </w:rPr>
                              <w:t>b</w:t>
                            </w:r>
                            <w:r w:rsidR="005B19F0" w:rsidRPr="005B19F0">
                              <w:rPr>
                                <w:rFonts w:ascii="Times New Roman" w:hAnsi="Times New Roman" w:cs="Times New Roman"/>
                                <w:caps/>
                                <w:color w:val="262626" w:themeColor="text1" w:themeTint="D9"/>
                                <w:sz w:val="24"/>
                                <w:szCs w:val="24"/>
                                <w:lang w:val="ru-RU"/>
                              </w:rPr>
                              <w:t>039/20</w:t>
                            </w:r>
                          </w:p>
                          <w:p w14:paraId="5A39BBE3" w14:textId="77777777" w:rsidR="00140D9D" w:rsidRPr="003A37BB" w:rsidRDefault="00140D9D" w:rsidP="00140D9D">
                            <w:pPr>
                              <w:pStyle w:val="NoSpacing"/>
                              <w:jc w:val="right"/>
                              <w:rPr>
                                <w:caps/>
                                <w:color w:val="262626" w:themeColor="text1" w:themeTint="D9"/>
                                <w:sz w:val="20"/>
                                <w:szCs w:val="20"/>
                                <w:lang w:val="ru-RU"/>
                              </w:rPr>
                            </w:pPr>
                          </w:p>
                          <w:p w14:paraId="41C8F396" w14:textId="77777777" w:rsidR="00140D9D" w:rsidRPr="003A37BB" w:rsidRDefault="00140D9D" w:rsidP="00140D9D">
                            <w:pPr>
                              <w:pStyle w:val="NoSpacing"/>
                              <w:jc w:val="right"/>
                              <w:rPr>
                                <w:caps/>
                                <w:color w:val="262626" w:themeColor="text1" w:themeTint="D9"/>
                                <w:sz w:val="20"/>
                                <w:szCs w:val="20"/>
                                <w:lang w:val="ru-RU"/>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48A96D" id="Text Box 112" o:spid="_x0000_s1028" type="#_x0000_t202" style="position:absolute;left:0;text-align:left;margin-left:-5.35pt;margin-top:594.4pt;width:496.5pt;height:61.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" filled="f" stroked="f" strokeweight=".5pt">
                <v:textbox inset="0,0,0,0">
                  <w:txbxContent>
                    <w:p w14:paraId="40AE7E86" w14:textId="77777777" w:rsidR="00140D9D" w:rsidRPr="00143927" w:rsidRDefault="00140D9D" w:rsidP="00140D9D">
                      <w:pPr>
                        <w:pStyle w:val="NoSpacing"/>
                        <w:rPr>
                          <w:rFonts w:ascii="Times New Roman" w:hAnsi="Times New Roman" w:cs="Times New Roman"/>
                          <w:caps/>
                          <w:color w:val="262626" w:themeColor="text1" w:themeTint="D9"/>
                          <w:sz w:val="24"/>
                          <w:szCs w:val="24"/>
                        </w:rPr>
                      </w:pPr>
                      <w:r w:rsidRPr="00143927">
                        <w:rPr>
                          <w:rFonts w:ascii="Times New Roman" w:hAnsi="Times New Roman" w:cs="Times New Roman"/>
                          <w:b/>
                          <w:color w:val="262626" w:themeColor="text1" w:themeTint="D9"/>
                          <w:sz w:val="24"/>
                          <w:szCs w:val="24"/>
                        </w:rPr>
                        <w:t>Ментор:</w:t>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b/>
                          <w:color w:val="262626" w:themeColor="text1" w:themeTint="D9"/>
                          <w:sz w:val="24"/>
                          <w:szCs w:val="24"/>
                        </w:rPr>
                        <w:t>Студент:</w:t>
                      </w:r>
                    </w:p>
                    <w:p w14:paraId="72662A85" w14:textId="77777777" w:rsidR="00140D9D" w:rsidRPr="00EF70EC" w:rsidRDefault="00140D9D" w:rsidP="00140D9D">
                      <w:pPr>
                        <w:pStyle w:val="NoSpacing"/>
                        <w:rPr>
                          <w:rFonts w:ascii="Times New Roman" w:hAnsi="Times New Roman" w:cs="Times New Roman"/>
                          <w:color w:val="262626" w:themeColor="text1" w:themeTint="D9"/>
                          <w:sz w:val="24"/>
                          <w:szCs w:val="24"/>
                          <w:lang w:val="ru-RU"/>
                        </w:rPr>
                      </w:pPr>
                      <w:r w:rsidRPr="00143927">
                        <w:rPr>
                          <w:rFonts w:ascii="Times New Roman" w:hAnsi="Times New Roman" w:cs="Times New Roman"/>
                          <w:color w:val="262626" w:themeColor="text1" w:themeTint="D9"/>
                          <w:sz w:val="24"/>
                          <w:szCs w:val="24"/>
                        </w:rPr>
                        <w:t xml:space="preserve">Проф. </w:t>
                      </w:r>
                      <w:r w:rsidR="005B19F0">
                        <w:rPr>
                          <w:rFonts w:ascii="Times New Roman" w:hAnsi="Times New Roman" w:cs="Times New Roman"/>
                          <w:color w:val="262626" w:themeColor="text1" w:themeTint="D9"/>
                          <w:sz w:val="24"/>
                          <w:szCs w:val="24"/>
                        </w:rPr>
                        <w:t>Станислав Зекић</w:t>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Pr="00143927">
                        <w:rPr>
                          <w:rFonts w:ascii="Times New Roman" w:hAnsi="Times New Roman" w:cs="Times New Roman"/>
                          <w:caps/>
                          <w:color w:val="262626" w:themeColor="text1" w:themeTint="D9"/>
                          <w:sz w:val="24"/>
                          <w:szCs w:val="24"/>
                        </w:rPr>
                        <w:tab/>
                      </w:r>
                      <w:r w:rsidR="005B19F0">
                        <w:rPr>
                          <w:rFonts w:ascii="Times New Roman" w:hAnsi="Times New Roman" w:cs="Times New Roman"/>
                          <w:caps/>
                          <w:color w:val="262626" w:themeColor="text1" w:themeTint="D9"/>
                          <w:sz w:val="24"/>
                          <w:szCs w:val="24"/>
                        </w:rPr>
                        <w:tab/>
                      </w:r>
                      <w:r w:rsidR="005B19F0">
                        <w:rPr>
                          <w:rFonts w:ascii="Times New Roman" w:hAnsi="Times New Roman" w:cs="Times New Roman"/>
                          <w:color w:val="262626" w:themeColor="text1" w:themeTint="D9"/>
                          <w:sz w:val="24"/>
                          <w:szCs w:val="24"/>
                        </w:rPr>
                        <w:t>Сара Милојевић</w:t>
                      </w:r>
                      <w:r w:rsidRPr="00143927">
                        <w:rPr>
                          <w:rFonts w:ascii="Times New Roman" w:hAnsi="Times New Roman" w:cs="Times New Roman"/>
                          <w:caps/>
                          <w:color w:val="262626" w:themeColor="text1" w:themeTint="D9"/>
                          <w:sz w:val="24"/>
                          <w:szCs w:val="24"/>
                        </w:rPr>
                        <w:t xml:space="preserve">, </w:t>
                      </w:r>
                      <w:r w:rsidR="005B19F0" w:rsidRPr="005B19F0">
                        <w:rPr>
                          <w:rFonts w:ascii="Times New Roman" w:hAnsi="Times New Roman" w:cs="Times New Roman"/>
                          <w:caps/>
                          <w:color w:val="262626" w:themeColor="text1" w:themeTint="D9"/>
                          <w:sz w:val="24"/>
                          <w:szCs w:val="24"/>
                          <w:lang w:val="ru-RU"/>
                        </w:rPr>
                        <w:t>EE</w:t>
                      </w:r>
                      <w:r w:rsidR="005B19F0" w:rsidRPr="005B19F0">
                        <w:rPr>
                          <w:rFonts w:ascii="Times New Roman" w:hAnsi="Times New Roman" w:cs="Times New Roman"/>
                          <w:color w:val="262626" w:themeColor="text1" w:themeTint="D9"/>
                          <w:sz w:val="24"/>
                          <w:szCs w:val="24"/>
                          <w:lang w:val="ru-RU"/>
                        </w:rPr>
                        <w:t>b</w:t>
                      </w:r>
                      <w:r w:rsidR="005B19F0" w:rsidRPr="005B19F0">
                        <w:rPr>
                          <w:rFonts w:ascii="Times New Roman" w:hAnsi="Times New Roman" w:cs="Times New Roman"/>
                          <w:caps/>
                          <w:color w:val="262626" w:themeColor="text1" w:themeTint="D9"/>
                          <w:sz w:val="24"/>
                          <w:szCs w:val="24"/>
                          <w:lang w:val="ru-RU"/>
                        </w:rPr>
                        <w:t>039/20</w:t>
                      </w:r>
                    </w:p>
                    <w:p w14:paraId="5A39BBE3" w14:textId="77777777" w:rsidR="00140D9D" w:rsidRPr="003A37BB" w:rsidRDefault="00140D9D" w:rsidP="00140D9D">
                      <w:pPr>
                        <w:pStyle w:val="NoSpacing"/>
                        <w:jc w:val="right"/>
                        <w:rPr>
                          <w:caps/>
                          <w:color w:val="262626" w:themeColor="text1" w:themeTint="D9"/>
                          <w:sz w:val="20"/>
                          <w:szCs w:val="20"/>
                          <w:lang w:val="ru-RU"/>
                        </w:rPr>
                      </w:pPr>
                    </w:p>
                    <w:p w14:paraId="41C8F396" w14:textId="77777777" w:rsidR="00140D9D" w:rsidRPr="003A37BB" w:rsidRDefault="00140D9D" w:rsidP="00140D9D">
                      <w:pPr>
                        <w:pStyle w:val="NoSpacing"/>
                        <w:jc w:val="right"/>
                        <w:rPr>
                          <w:caps/>
                          <w:color w:val="262626" w:themeColor="text1" w:themeTint="D9"/>
                          <w:sz w:val="20"/>
                          <w:szCs w:val="20"/>
                          <w:lang w:val="ru-RU"/>
                        </w:rPr>
                      </w:pPr>
                    </w:p>
                  </w:txbxContent>
                </v:textbox>
                <w10:wrap type="square" anchorx="margin" anchory="margin"/>
              </v:shape>
            </w:pict>
          </mc:Fallback>
        </mc:AlternateContent>
      </w:r>
      <w:r w:rsidRPr="00AB084E">
        <w:rPr>
          <w:noProof/>
          <w:lang w:val="en-US"/>
        </w:rPr>
        <mc:AlternateContent>
          <mc:Choice Requires="wps">
            <w:drawing>
              <wp:anchor distT="0" distB="0" distL="114300" distR="114300" simplePos="0" relativeHeight="251663360" behindDoc="0" locked="0" layoutInCell="1" allowOverlap="1" wp14:anchorId="229DBFBA" wp14:editId="18D11106">
                <wp:simplePos x="0" y="0"/>
                <wp:positionH relativeFrom="margin">
                  <wp:posOffset>113665</wp:posOffset>
                </wp:positionH>
                <wp:positionV relativeFrom="margin">
                  <wp:posOffset>3282315</wp:posOffset>
                </wp:positionV>
                <wp:extent cx="5553075" cy="2179320"/>
                <wp:effectExtent l="0" t="0" r="9525" b="11430"/>
                <wp:wrapSquare wrapText="bothSides"/>
                <wp:docPr id="113" name="Text Box 113"/>
                <wp:cNvGraphicFramePr/>
                <a:graphic xmlns:a="http://schemas.openxmlformats.org/drawingml/2006/main">
                  <a:graphicData uri="http://schemas.microsoft.com/office/word/2010/wordprocessingShape">
                    <wps:wsp>
                      <wps:cNvSpPr txBox="1"/>
                      <wps:spPr>
                        <a:xfrm>
                          <a:off x="0" y="0"/>
                          <a:ext cx="5553075" cy="2179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A44114" w14:textId="77777777" w:rsidR="00140D9D" w:rsidRDefault="005B19F0" w:rsidP="00140D9D">
                            <w:pPr>
                              <w:pStyle w:val="NoSpacing"/>
                              <w:jc w:val="center"/>
                              <w:rPr>
                                <w:rFonts w:ascii="Times New Roman" w:hAnsi="Times New Roman" w:cs="Times New Roman"/>
                                <w:b/>
                                <w:smallCaps/>
                                <w:color w:val="5A6378" w:themeColor="text2"/>
                                <w:sz w:val="24"/>
                                <w:szCs w:val="36"/>
                                <w:lang w:val="ru-RU"/>
                              </w:rPr>
                            </w:pPr>
                            <w:r w:rsidRPr="005B19F0">
                              <w:rPr>
                                <w:rFonts w:ascii="Times New Roman" w:hAnsi="Times New Roman" w:cs="Times New Roman"/>
                                <w:b/>
                                <w:smallCaps/>
                                <w:color w:val="5A6378" w:themeColor="text2"/>
                                <w:sz w:val="28"/>
                                <w:szCs w:val="36"/>
                                <w:lang w:val="ru-RU"/>
                              </w:rPr>
                              <w:t>ЕВРОПСКИ ЗЕЛЕНИ ДОГОВОР И НОВА ЗАЈЕДНИЧКА АГРАРНА ПОЛИТИКА ЕУ</w:t>
                            </w:r>
                          </w:p>
                          <w:p w14:paraId="0E27B00A" w14:textId="77777777" w:rsidR="00140D9D" w:rsidRPr="00143927" w:rsidRDefault="00140D9D" w:rsidP="00140D9D">
                            <w:pPr>
                              <w:pStyle w:val="NoSpacing"/>
                              <w:jc w:val="center"/>
                              <w:rPr>
                                <w:rFonts w:ascii="Times New Roman" w:hAnsi="Times New Roman" w:cs="Times New Roman"/>
                                <w:b/>
                                <w:smallCaps/>
                                <w:color w:val="5A6378" w:themeColor="text2"/>
                                <w:sz w:val="24"/>
                                <w:szCs w:val="36"/>
                                <w:lang w:val="ru-RU"/>
                              </w:rPr>
                            </w:pPr>
                          </w:p>
                          <w:p w14:paraId="78539670" w14:textId="77777777" w:rsidR="00140D9D" w:rsidRPr="00143927" w:rsidRDefault="00140D9D" w:rsidP="00140D9D">
                            <w:pPr>
                              <w:pStyle w:val="NoSpacing"/>
                              <w:jc w:val="center"/>
                              <w:rPr>
                                <w:rFonts w:ascii="Times New Roman" w:hAnsi="Times New Roman" w:cs="Times New Roman"/>
                                <w:smallCaps/>
                                <w:color w:val="5A6378" w:themeColor="text2"/>
                                <w:sz w:val="24"/>
                                <w:szCs w:val="36"/>
                              </w:rPr>
                            </w:pPr>
                            <w:r w:rsidRPr="00143927">
                              <w:rPr>
                                <w:rFonts w:ascii="Times New Roman" w:hAnsi="Times New Roman" w:cs="Times New Roman"/>
                                <w:smallCaps/>
                                <w:color w:val="5A6378" w:themeColor="text2"/>
                                <w:sz w:val="24"/>
                                <w:szCs w:val="36"/>
                              </w:rPr>
                              <w:t>Семинарски рад из предмета</w:t>
                            </w:r>
                          </w:p>
                          <w:p w14:paraId="60061E4C" w14:textId="77777777" w:rsidR="00140D9D" w:rsidRPr="00143927" w:rsidRDefault="00140D9D" w:rsidP="00140D9D">
                            <w:pPr>
                              <w:pStyle w:val="NoSpacing"/>
                              <w:jc w:val="center"/>
                              <w:rPr>
                                <w:rFonts w:ascii="Times New Roman" w:hAnsi="Times New Roman" w:cs="Times New Roman"/>
                                <w:smallCaps/>
                                <w:color w:val="5A6378" w:themeColor="text2"/>
                                <w:sz w:val="24"/>
                                <w:szCs w:val="36"/>
                              </w:rPr>
                            </w:pPr>
                          </w:p>
                          <w:p w14:paraId="21E86209" w14:textId="77777777" w:rsidR="00140D9D" w:rsidRPr="00143927" w:rsidRDefault="005B19F0" w:rsidP="00140D9D">
                            <w:pPr>
                              <w:pStyle w:val="NoSpacing"/>
                              <w:jc w:val="center"/>
                              <w:rPr>
                                <w:rFonts w:ascii="Times New Roman" w:hAnsi="Times New Roman" w:cs="Times New Roman"/>
                                <w:smallCaps/>
                                <w:color w:val="5A6378" w:themeColor="text2"/>
                                <w:sz w:val="24"/>
                                <w:szCs w:val="36"/>
                              </w:rPr>
                            </w:pPr>
                            <w:r>
                              <w:rPr>
                                <w:rFonts w:ascii="Times New Roman" w:hAnsi="Times New Roman" w:cs="Times New Roman"/>
                                <w:smallCaps/>
                                <w:color w:val="5A6378" w:themeColor="text2"/>
                                <w:sz w:val="24"/>
                                <w:szCs w:val="36"/>
                              </w:rPr>
                              <w:t>Аграрна економија Европске Уније</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9DBFBA" id="Text Box 113" o:spid="_x0000_s1029" type="#_x0000_t202" style="position:absolute;left:0;text-align:left;margin-left:8.95pt;margin-top:258.45pt;width:437.25pt;height:17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" filled="f" stroked="f" strokeweight=".5pt">
                <v:textbox inset="0,0,0,0">
                  <w:txbxContent>
                    <w:p w14:paraId="4CA44114" w14:textId="77777777" w:rsidR="00140D9D" w:rsidRDefault="005B19F0" w:rsidP="00140D9D">
                      <w:pPr>
                        <w:pStyle w:val="NoSpacing"/>
                        <w:jc w:val="center"/>
                        <w:rPr>
                          <w:rFonts w:ascii="Times New Roman" w:hAnsi="Times New Roman" w:cs="Times New Roman"/>
                          <w:b/>
                          <w:smallCaps/>
                          <w:color w:val="5A6378" w:themeColor="text2"/>
                          <w:sz w:val="24"/>
                          <w:szCs w:val="36"/>
                          <w:lang w:val="ru-RU"/>
                        </w:rPr>
                      </w:pPr>
                      <w:r w:rsidRPr="005B19F0">
                        <w:rPr>
                          <w:rFonts w:ascii="Times New Roman" w:hAnsi="Times New Roman" w:cs="Times New Roman"/>
                          <w:b/>
                          <w:smallCaps/>
                          <w:color w:val="5A6378" w:themeColor="text2"/>
                          <w:sz w:val="28"/>
                          <w:szCs w:val="36"/>
                          <w:lang w:val="ru-RU"/>
                        </w:rPr>
                        <w:t>ЕВРОПСКИ ЗЕЛЕНИ ДОГОВОР И НОВА ЗАЈЕДНИЧКА АГРАРНА ПОЛИТИКА ЕУ</w:t>
                      </w:r>
                    </w:p>
                    <w:p w14:paraId="0E27B00A" w14:textId="77777777" w:rsidR="00140D9D" w:rsidRPr="00143927" w:rsidRDefault="00140D9D" w:rsidP="00140D9D">
                      <w:pPr>
                        <w:pStyle w:val="NoSpacing"/>
                        <w:jc w:val="center"/>
                        <w:rPr>
                          <w:rFonts w:ascii="Times New Roman" w:hAnsi="Times New Roman" w:cs="Times New Roman"/>
                          <w:b/>
                          <w:smallCaps/>
                          <w:color w:val="5A6378" w:themeColor="text2"/>
                          <w:sz w:val="24"/>
                          <w:szCs w:val="36"/>
                          <w:lang w:val="ru-RU"/>
                        </w:rPr>
                      </w:pPr>
                    </w:p>
                    <w:p w14:paraId="78539670" w14:textId="77777777" w:rsidR="00140D9D" w:rsidRPr="00143927" w:rsidRDefault="00140D9D" w:rsidP="00140D9D">
                      <w:pPr>
                        <w:pStyle w:val="NoSpacing"/>
                        <w:jc w:val="center"/>
                        <w:rPr>
                          <w:rFonts w:ascii="Times New Roman" w:hAnsi="Times New Roman" w:cs="Times New Roman"/>
                          <w:smallCaps/>
                          <w:color w:val="5A6378" w:themeColor="text2"/>
                          <w:sz w:val="24"/>
                          <w:szCs w:val="36"/>
                        </w:rPr>
                      </w:pPr>
                      <w:r w:rsidRPr="00143927">
                        <w:rPr>
                          <w:rFonts w:ascii="Times New Roman" w:hAnsi="Times New Roman" w:cs="Times New Roman"/>
                          <w:smallCaps/>
                          <w:color w:val="5A6378" w:themeColor="text2"/>
                          <w:sz w:val="24"/>
                          <w:szCs w:val="36"/>
                        </w:rPr>
                        <w:t>Семинарски рад из предмета</w:t>
                      </w:r>
                    </w:p>
                    <w:p w14:paraId="60061E4C" w14:textId="77777777" w:rsidR="00140D9D" w:rsidRPr="00143927" w:rsidRDefault="00140D9D" w:rsidP="00140D9D">
                      <w:pPr>
                        <w:pStyle w:val="NoSpacing"/>
                        <w:jc w:val="center"/>
                        <w:rPr>
                          <w:rFonts w:ascii="Times New Roman" w:hAnsi="Times New Roman" w:cs="Times New Roman"/>
                          <w:smallCaps/>
                          <w:color w:val="5A6378" w:themeColor="text2"/>
                          <w:sz w:val="24"/>
                          <w:szCs w:val="36"/>
                        </w:rPr>
                      </w:pPr>
                    </w:p>
                    <w:p w14:paraId="21E86209" w14:textId="77777777" w:rsidR="00140D9D" w:rsidRPr="00143927" w:rsidRDefault="005B19F0" w:rsidP="00140D9D">
                      <w:pPr>
                        <w:pStyle w:val="NoSpacing"/>
                        <w:jc w:val="center"/>
                        <w:rPr>
                          <w:rFonts w:ascii="Times New Roman" w:hAnsi="Times New Roman" w:cs="Times New Roman"/>
                          <w:smallCaps/>
                          <w:color w:val="5A6378" w:themeColor="text2"/>
                          <w:sz w:val="24"/>
                          <w:szCs w:val="36"/>
                        </w:rPr>
                      </w:pPr>
                      <w:r>
                        <w:rPr>
                          <w:rFonts w:ascii="Times New Roman" w:hAnsi="Times New Roman" w:cs="Times New Roman"/>
                          <w:smallCaps/>
                          <w:color w:val="5A6378" w:themeColor="text2"/>
                          <w:sz w:val="24"/>
                          <w:szCs w:val="36"/>
                        </w:rPr>
                        <w:t>Аграрна економија Европске Уније</w:t>
                      </w:r>
                    </w:p>
                  </w:txbxContent>
                </v:textbox>
                <w10:wrap type="square" anchorx="margin" anchory="margin"/>
              </v:shape>
            </w:pict>
          </mc:Fallback>
        </mc:AlternateContent>
      </w:r>
      <w:r w:rsidRPr="00AB084E">
        <w:rPr>
          <w:noProof/>
          <w:lang w:val="en-US"/>
        </w:rPr>
        <mc:AlternateContent>
          <mc:Choice Requires="wpg">
            <w:drawing>
              <wp:anchor distT="0" distB="0" distL="114300" distR="114300" simplePos="0" relativeHeight="251659264" behindDoc="0" locked="0" layoutInCell="1" allowOverlap="1" wp14:anchorId="2786CD7A" wp14:editId="798580EE">
                <wp:simplePos x="0" y="0"/>
                <wp:positionH relativeFrom="page">
                  <wp:posOffset>492760</wp:posOffset>
                </wp:positionH>
                <wp:positionV relativeFrom="page">
                  <wp:posOffset>638810</wp:posOffset>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Rectangle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6C4C188F" id="Group 114" o:spid="_x0000_s1026" style="position:absolute;margin-left:38.8pt;margin-top:50.3pt;width:18pt;height:10in;z-index:251659264;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">
                <v:rect id="Rectangle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" fillcolor="#60b5cc [3205]" stroked="f" strokeweight="2pt"/>
                <v:rect id="Rectangle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" fillcolor="#f0ad00 [3204]" stroked="f" strokeweight="2pt">
                  <v:path arrowok="t"/>
                  <o:lock v:ext="edit" aspectratio="t"/>
                </v:rect>
                <w10:wrap anchorx="page" anchory="page"/>
              </v:group>
            </w:pict>
          </mc:Fallback>
        </mc:AlternateContent>
      </w:r>
    </w:p>
    <w:p w14:paraId="3DEEC669" w14:textId="77777777" w:rsidR="00140D9D" w:rsidRPr="00140D9D" w:rsidRDefault="00140D9D" w:rsidP="00140D9D"/>
    <w:p w14:paraId="3656B9AB" w14:textId="77777777" w:rsidR="00140D9D" w:rsidRPr="00140D9D" w:rsidRDefault="00140D9D" w:rsidP="00140D9D"/>
    <w:p w14:paraId="45FB0818" w14:textId="77777777" w:rsidR="00140D9D" w:rsidRPr="00140D9D" w:rsidRDefault="00140D9D" w:rsidP="00140D9D"/>
    <w:p w14:paraId="049F31CB" w14:textId="77777777" w:rsidR="00140D9D" w:rsidRPr="00140D9D" w:rsidRDefault="00140D9D" w:rsidP="00140D9D">
      <w:pPr>
        <w:tabs>
          <w:tab w:val="left" w:pos="5636"/>
        </w:tabs>
      </w:pPr>
    </w:p>
    <w:p w14:paraId="53128261" w14:textId="77777777" w:rsidR="00B60EEB" w:rsidRDefault="00B60EEB" w:rsidP="00B60EEB">
      <w:pPr>
        <w:ind w:firstLine="0"/>
        <w:sectPr w:rsidR="00B60EEB" w:rsidSect="00B60EEB">
          <w:headerReference w:type="default" r:id="rId9"/>
          <w:pgSz w:w="11906" w:h="16838"/>
          <w:pgMar w:top="1440" w:right="1440" w:bottom="1440" w:left="1440" w:header="720" w:footer="720" w:gutter="0"/>
          <w:cols w:space="720"/>
          <w:titlePg/>
          <w:docGrid w:linePitch="360"/>
        </w:sectPr>
      </w:pPr>
    </w:p>
    <w:sdt>
      <w:sdtPr>
        <w:rPr>
          <w:rFonts w:eastAsiaTheme="minorHAnsi" w:cstheme="minorBidi"/>
          <w:b w:val="0"/>
          <w:bCs w:val="0"/>
          <w:caps w:val="0"/>
          <w:color w:val="auto"/>
          <w:sz w:val="24"/>
          <w:szCs w:val="22"/>
          <w:lang w:val="sr-Cyrl-RS" w:eastAsia="en-US"/>
        </w:rPr>
        <w:id w:val="271512307"/>
        <w:docPartObj>
          <w:docPartGallery w:val="Table of Contents"/>
          <w:docPartUnique/>
        </w:docPartObj>
      </w:sdtPr>
      <w:sdtEndPr>
        <w:rPr>
          <w:noProof/>
        </w:rPr>
      </w:sdtEndPr>
      <w:sdtContent>
        <w:p w14:paraId="37679739" w14:textId="77777777" w:rsidR="00B60EEB" w:rsidRPr="00AB084E" w:rsidRDefault="00B60EEB" w:rsidP="00B60EEB">
          <w:pPr>
            <w:pStyle w:val="TOCHeading"/>
            <w:jc w:val="center"/>
            <w:rPr>
              <w:lang w:val="sr-Cyrl-RS"/>
            </w:rPr>
          </w:pPr>
          <w:r w:rsidRPr="00AB084E">
            <w:rPr>
              <w:lang w:val="sr-Cyrl-RS"/>
            </w:rPr>
            <w:t>Садржај:</w:t>
          </w:r>
        </w:p>
        <w:p w14:paraId="62486C05" w14:textId="77777777" w:rsidR="00B60EEB" w:rsidRPr="00AB084E" w:rsidRDefault="00B60EEB" w:rsidP="00B60EEB"/>
        <w:p w14:paraId="60F68341" w14:textId="77777777" w:rsidR="00A76EB0" w:rsidRDefault="00B60EEB">
          <w:pPr>
            <w:pStyle w:val="TOC1"/>
            <w:tabs>
              <w:tab w:val="right" w:leader="dot" w:pos="9016"/>
            </w:tabs>
            <w:rPr>
              <w:rFonts w:asciiTheme="minorHAnsi" w:eastAsiaTheme="minorEastAsia" w:hAnsiTheme="minorHAnsi"/>
              <w:noProof/>
              <w:sz w:val="22"/>
              <w:lang w:eastAsia="sr-Cyrl-RS"/>
            </w:rPr>
          </w:pPr>
          <w:r w:rsidRPr="00AB084E">
            <w:rPr>
              <w:b/>
              <w:bCs/>
              <w:noProof/>
            </w:rPr>
            <w:fldChar w:fldCharType="begin"/>
          </w:r>
          <w:r w:rsidRPr="00AB084E">
            <w:rPr>
              <w:b/>
              <w:bCs/>
              <w:noProof/>
            </w:rPr>
            <w:instrText xml:space="preserve"> TOC \o "1-3" \h \z \u </w:instrText>
          </w:r>
          <w:r w:rsidRPr="00AB084E">
            <w:rPr>
              <w:b/>
              <w:bCs/>
              <w:noProof/>
            </w:rPr>
            <w:fldChar w:fldCharType="separate"/>
          </w:r>
          <w:hyperlink w:anchor="_Toc136702838" w:history="1">
            <w:r w:rsidR="00A76EB0" w:rsidRPr="00342E31">
              <w:rPr>
                <w:rStyle w:val="Hyperlink"/>
                <w:noProof/>
              </w:rPr>
              <w:t>Увод</w:t>
            </w:r>
            <w:r w:rsidR="00A76EB0">
              <w:rPr>
                <w:noProof/>
                <w:webHidden/>
              </w:rPr>
              <w:tab/>
            </w:r>
            <w:r w:rsidR="00A76EB0">
              <w:rPr>
                <w:noProof/>
                <w:webHidden/>
              </w:rPr>
              <w:fldChar w:fldCharType="begin"/>
            </w:r>
            <w:r w:rsidR="00A76EB0">
              <w:rPr>
                <w:noProof/>
                <w:webHidden/>
              </w:rPr>
              <w:instrText xml:space="preserve"> PAGEREF _Toc136702838 \h </w:instrText>
            </w:r>
            <w:r w:rsidR="00A76EB0">
              <w:rPr>
                <w:noProof/>
                <w:webHidden/>
              </w:rPr>
            </w:r>
            <w:r w:rsidR="00A76EB0">
              <w:rPr>
                <w:noProof/>
                <w:webHidden/>
              </w:rPr>
              <w:fldChar w:fldCharType="separate"/>
            </w:r>
            <w:r w:rsidR="00A76EB0">
              <w:rPr>
                <w:noProof/>
                <w:webHidden/>
              </w:rPr>
              <w:t>1</w:t>
            </w:r>
            <w:r w:rsidR="00A76EB0">
              <w:rPr>
                <w:noProof/>
                <w:webHidden/>
              </w:rPr>
              <w:fldChar w:fldCharType="end"/>
            </w:r>
          </w:hyperlink>
        </w:p>
        <w:p w14:paraId="6C162C80" w14:textId="77777777" w:rsidR="00A76EB0" w:rsidRDefault="00FC0454">
          <w:pPr>
            <w:pStyle w:val="TOC1"/>
            <w:tabs>
              <w:tab w:val="left" w:pos="1320"/>
              <w:tab w:val="right" w:leader="dot" w:pos="9016"/>
            </w:tabs>
            <w:rPr>
              <w:rFonts w:asciiTheme="minorHAnsi" w:eastAsiaTheme="minorEastAsia" w:hAnsiTheme="minorHAnsi"/>
              <w:noProof/>
              <w:sz w:val="22"/>
              <w:lang w:eastAsia="sr-Cyrl-RS"/>
            </w:rPr>
          </w:pPr>
          <w:hyperlink w:anchor="_Toc136702839" w:history="1">
            <w:r w:rsidR="00A76EB0" w:rsidRPr="00342E31">
              <w:rPr>
                <w:rStyle w:val="Hyperlink"/>
                <w:rFonts w:eastAsia="Calibri"/>
                <w:noProof/>
              </w:rPr>
              <w:t>1.</w:t>
            </w:r>
            <w:r w:rsidR="00A76EB0">
              <w:rPr>
                <w:rFonts w:asciiTheme="minorHAnsi" w:eastAsiaTheme="minorEastAsia" w:hAnsiTheme="minorHAnsi"/>
                <w:noProof/>
                <w:sz w:val="22"/>
                <w:lang w:eastAsia="sr-Cyrl-RS"/>
              </w:rPr>
              <w:tab/>
            </w:r>
            <w:r w:rsidR="00A76EB0" w:rsidRPr="00342E31">
              <w:rPr>
                <w:rStyle w:val="Hyperlink"/>
                <w:rFonts w:eastAsia="Times New Roman"/>
                <w:noProof/>
              </w:rPr>
              <w:t>Заједничке аграрне политике</w:t>
            </w:r>
            <w:r w:rsidR="00A76EB0">
              <w:rPr>
                <w:noProof/>
                <w:webHidden/>
              </w:rPr>
              <w:tab/>
            </w:r>
            <w:r w:rsidR="00A76EB0">
              <w:rPr>
                <w:noProof/>
                <w:webHidden/>
              </w:rPr>
              <w:fldChar w:fldCharType="begin"/>
            </w:r>
            <w:r w:rsidR="00A76EB0">
              <w:rPr>
                <w:noProof/>
                <w:webHidden/>
              </w:rPr>
              <w:instrText xml:space="preserve"> PAGEREF _Toc136702839 \h </w:instrText>
            </w:r>
            <w:r w:rsidR="00A76EB0">
              <w:rPr>
                <w:noProof/>
                <w:webHidden/>
              </w:rPr>
            </w:r>
            <w:r w:rsidR="00A76EB0">
              <w:rPr>
                <w:noProof/>
                <w:webHidden/>
              </w:rPr>
              <w:fldChar w:fldCharType="separate"/>
            </w:r>
            <w:r w:rsidR="00A76EB0">
              <w:rPr>
                <w:noProof/>
                <w:webHidden/>
              </w:rPr>
              <w:t>2</w:t>
            </w:r>
            <w:r w:rsidR="00A76EB0">
              <w:rPr>
                <w:noProof/>
                <w:webHidden/>
              </w:rPr>
              <w:fldChar w:fldCharType="end"/>
            </w:r>
          </w:hyperlink>
        </w:p>
        <w:p w14:paraId="29B62D2D"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0" w:history="1">
            <w:r w:rsidR="00A76EB0" w:rsidRPr="00342E31">
              <w:rPr>
                <w:rStyle w:val="Hyperlink"/>
                <w:rFonts w:eastAsia="Times New Roman"/>
                <w:noProof/>
              </w:rPr>
              <w:t>1.1.</w:t>
            </w:r>
            <w:r w:rsidR="00A76EB0">
              <w:rPr>
                <w:rFonts w:asciiTheme="minorHAnsi" w:eastAsiaTheme="minorEastAsia" w:hAnsiTheme="minorHAnsi"/>
                <w:noProof/>
                <w:sz w:val="22"/>
                <w:lang w:eastAsia="sr-Cyrl-RS"/>
              </w:rPr>
              <w:tab/>
            </w:r>
            <w:r w:rsidR="00A76EB0" w:rsidRPr="00342E31">
              <w:rPr>
                <w:rStyle w:val="Hyperlink"/>
                <w:rFonts w:eastAsia="Times New Roman"/>
                <w:noProof/>
              </w:rPr>
              <w:t>Историја заједничке аграрне политике</w:t>
            </w:r>
            <w:r w:rsidR="00A76EB0">
              <w:rPr>
                <w:noProof/>
                <w:webHidden/>
              </w:rPr>
              <w:tab/>
            </w:r>
            <w:r w:rsidR="00A76EB0">
              <w:rPr>
                <w:noProof/>
                <w:webHidden/>
              </w:rPr>
              <w:fldChar w:fldCharType="begin"/>
            </w:r>
            <w:r w:rsidR="00A76EB0">
              <w:rPr>
                <w:noProof/>
                <w:webHidden/>
              </w:rPr>
              <w:instrText xml:space="preserve"> PAGEREF _Toc136702840 \h </w:instrText>
            </w:r>
            <w:r w:rsidR="00A76EB0">
              <w:rPr>
                <w:noProof/>
                <w:webHidden/>
              </w:rPr>
            </w:r>
            <w:r w:rsidR="00A76EB0">
              <w:rPr>
                <w:noProof/>
                <w:webHidden/>
              </w:rPr>
              <w:fldChar w:fldCharType="separate"/>
            </w:r>
            <w:r w:rsidR="00A76EB0">
              <w:rPr>
                <w:noProof/>
                <w:webHidden/>
              </w:rPr>
              <w:t>2</w:t>
            </w:r>
            <w:r w:rsidR="00A76EB0">
              <w:rPr>
                <w:noProof/>
                <w:webHidden/>
              </w:rPr>
              <w:fldChar w:fldCharType="end"/>
            </w:r>
          </w:hyperlink>
        </w:p>
        <w:p w14:paraId="4CEFE8CB"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1" w:history="1">
            <w:r w:rsidR="00A76EB0" w:rsidRPr="00342E31">
              <w:rPr>
                <w:rStyle w:val="Hyperlink"/>
                <w:rFonts w:eastAsia="Times New Roman"/>
                <w:noProof/>
              </w:rPr>
              <w:t>1.2.</w:t>
            </w:r>
            <w:r w:rsidR="00A76EB0">
              <w:rPr>
                <w:rFonts w:asciiTheme="minorHAnsi" w:eastAsiaTheme="minorEastAsia" w:hAnsiTheme="minorHAnsi"/>
                <w:noProof/>
                <w:sz w:val="22"/>
                <w:lang w:eastAsia="sr-Cyrl-RS"/>
              </w:rPr>
              <w:tab/>
            </w:r>
            <w:r w:rsidR="00A76EB0" w:rsidRPr="00342E31">
              <w:rPr>
                <w:rStyle w:val="Hyperlink"/>
                <w:rFonts w:eastAsia="Times New Roman"/>
                <w:noProof/>
              </w:rPr>
              <w:t>Историјски развој ЗПП</w:t>
            </w:r>
            <w:r w:rsidR="00A76EB0">
              <w:rPr>
                <w:noProof/>
                <w:webHidden/>
              </w:rPr>
              <w:tab/>
            </w:r>
            <w:r w:rsidR="00A76EB0">
              <w:rPr>
                <w:noProof/>
                <w:webHidden/>
              </w:rPr>
              <w:fldChar w:fldCharType="begin"/>
            </w:r>
            <w:r w:rsidR="00A76EB0">
              <w:rPr>
                <w:noProof/>
                <w:webHidden/>
              </w:rPr>
              <w:instrText xml:space="preserve"> PAGEREF _Toc136702841 \h </w:instrText>
            </w:r>
            <w:r w:rsidR="00A76EB0">
              <w:rPr>
                <w:noProof/>
                <w:webHidden/>
              </w:rPr>
            </w:r>
            <w:r w:rsidR="00A76EB0">
              <w:rPr>
                <w:noProof/>
                <w:webHidden/>
              </w:rPr>
              <w:fldChar w:fldCharType="separate"/>
            </w:r>
            <w:r w:rsidR="00A76EB0">
              <w:rPr>
                <w:noProof/>
                <w:webHidden/>
              </w:rPr>
              <w:t>3</w:t>
            </w:r>
            <w:r w:rsidR="00A76EB0">
              <w:rPr>
                <w:noProof/>
                <w:webHidden/>
              </w:rPr>
              <w:fldChar w:fldCharType="end"/>
            </w:r>
          </w:hyperlink>
        </w:p>
        <w:p w14:paraId="2AC29E98"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2" w:history="1">
            <w:r w:rsidR="00A76EB0" w:rsidRPr="00342E31">
              <w:rPr>
                <w:rStyle w:val="Hyperlink"/>
                <w:rFonts w:eastAsia="Times New Roman"/>
                <w:noProof/>
              </w:rPr>
              <w:t>1.3.</w:t>
            </w:r>
            <w:r w:rsidR="00A76EB0">
              <w:rPr>
                <w:rFonts w:asciiTheme="minorHAnsi" w:eastAsiaTheme="minorEastAsia" w:hAnsiTheme="minorHAnsi"/>
                <w:noProof/>
                <w:sz w:val="22"/>
                <w:lang w:eastAsia="sr-Cyrl-RS"/>
              </w:rPr>
              <w:tab/>
            </w:r>
            <w:r w:rsidR="00A76EB0" w:rsidRPr="00342E31">
              <w:rPr>
                <w:rStyle w:val="Hyperlink"/>
                <w:rFonts w:eastAsia="Times New Roman"/>
                <w:noProof/>
              </w:rPr>
              <w:t>Два стуба ЗПП и финансирање ЗПП</w:t>
            </w:r>
            <w:r w:rsidR="00A76EB0">
              <w:rPr>
                <w:noProof/>
                <w:webHidden/>
              </w:rPr>
              <w:tab/>
            </w:r>
            <w:r w:rsidR="00A76EB0">
              <w:rPr>
                <w:noProof/>
                <w:webHidden/>
              </w:rPr>
              <w:fldChar w:fldCharType="begin"/>
            </w:r>
            <w:r w:rsidR="00A76EB0">
              <w:rPr>
                <w:noProof/>
                <w:webHidden/>
              </w:rPr>
              <w:instrText xml:space="preserve"> PAGEREF _Toc136702842 \h </w:instrText>
            </w:r>
            <w:r w:rsidR="00A76EB0">
              <w:rPr>
                <w:noProof/>
                <w:webHidden/>
              </w:rPr>
            </w:r>
            <w:r w:rsidR="00A76EB0">
              <w:rPr>
                <w:noProof/>
                <w:webHidden/>
              </w:rPr>
              <w:fldChar w:fldCharType="separate"/>
            </w:r>
            <w:r w:rsidR="00A76EB0">
              <w:rPr>
                <w:noProof/>
                <w:webHidden/>
              </w:rPr>
              <w:t>4</w:t>
            </w:r>
            <w:r w:rsidR="00A76EB0">
              <w:rPr>
                <w:noProof/>
                <w:webHidden/>
              </w:rPr>
              <w:fldChar w:fldCharType="end"/>
            </w:r>
          </w:hyperlink>
        </w:p>
        <w:p w14:paraId="074B07D0" w14:textId="77777777" w:rsidR="00A76EB0" w:rsidRDefault="00FC0454">
          <w:pPr>
            <w:pStyle w:val="TOC1"/>
            <w:tabs>
              <w:tab w:val="left" w:pos="1320"/>
              <w:tab w:val="right" w:leader="dot" w:pos="9016"/>
            </w:tabs>
            <w:rPr>
              <w:rFonts w:asciiTheme="minorHAnsi" w:eastAsiaTheme="minorEastAsia" w:hAnsiTheme="minorHAnsi"/>
              <w:noProof/>
              <w:sz w:val="22"/>
              <w:lang w:eastAsia="sr-Cyrl-RS"/>
            </w:rPr>
          </w:pPr>
          <w:hyperlink w:anchor="_Toc136702843" w:history="1">
            <w:r w:rsidR="00A76EB0" w:rsidRPr="00342E31">
              <w:rPr>
                <w:rStyle w:val="Hyperlink"/>
                <w:rFonts w:eastAsia="Times New Roman"/>
                <w:noProof/>
              </w:rPr>
              <w:t>2.</w:t>
            </w:r>
            <w:r w:rsidR="00A76EB0">
              <w:rPr>
                <w:rFonts w:asciiTheme="minorHAnsi" w:eastAsiaTheme="minorEastAsia" w:hAnsiTheme="minorHAnsi"/>
                <w:noProof/>
                <w:sz w:val="22"/>
                <w:lang w:eastAsia="sr-Cyrl-RS"/>
              </w:rPr>
              <w:tab/>
            </w:r>
            <w:r w:rsidR="00A76EB0" w:rsidRPr="00342E31">
              <w:rPr>
                <w:rStyle w:val="Hyperlink"/>
                <w:noProof/>
              </w:rPr>
              <w:t>Европски зелени договор и стратегија „Од њиве до трпезе“</w:t>
            </w:r>
            <w:r w:rsidR="00A76EB0">
              <w:rPr>
                <w:noProof/>
                <w:webHidden/>
              </w:rPr>
              <w:tab/>
            </w:r>
            <w:r w:rsidR="00A76EB0">
              <w:rPr>
                <w:noProof/>
                <w:webHidden/>
              </w:rPr>
              <w:fldChar w:fldCharType="begin"/>
            </w:r>
            <w:r w:rsidR="00A76EB0">
              <w:rPr>
                <w:noProof/>
                <w:webHidden/>
              </w:rPr>
              <w:instrText xml:space="preserve"> PAGEREF _Toc136702843 \h </w:instrText>
            </w:r>
            <w:r w:rsidR="00A76EB0">
              <w:rPr>
                <w:noProof/>
                <w:webHidden/>
              </w:rPr>
            </w:r>
            <w:r w:rsidR="00A76EB0">
              <w:rPr>
                <w:noProof/>
                <w:webHidden/>
              </w:rPr>
              <w:fldChar w:fldCharType="separate"/>
            </w:r>
            <w:r w:rsidR="00A76EB0">
              <w:rPr>
                <w:noProof/>
                <w:webHidden/>
              </w:rPr>
              <w:t>6</w:t>
            </w:r>
            <w:r w:rsidR="00A76EB0">
              <w:rPr>
                <w:noProof/>
                <w:webHidden/>
              </w:rPr>
              <w:fldChar w:fldCharType="end"/>
            </w:r>
          </w:hyperlink>
        </w:p>
        <w:p w14:paraId="64775AD3"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4" w:history="1">
            <w:r w:rsidR="00A76EB0" w:rsidRPr="00342E31">
              <w:rPr>
                <w:rStyle w:val="Hyperlink"/>
                <w:rFonts w:eastAsia="Times New Roman"/>
                <w:noProof/>
              </w:rPr>
              <w:t>2.1.</w:t>
            </w:r>
            <w:r w:rsidR="00A76EB0">
              <w:rPr>
                <w:rFonts w:asciiTheme="minorHAnsi" w:eastAsiaTheme="minorEastAsia" w:hAnsiTheme="minorHAnsi"/>
                <w:noProof/>
                <w:sz w:val="22"/>
                <w:lang w:eastAsia="sr-Cyrl-RS"/>
              </w:rPr>
              <w:tab/>
            </w:r>
            <w:r w:rsidR="00A76EB0" w:rsidRPr="00342E31">
              <w:rPr>
                <w:rStyle w:val="Hyperlink"/>
                <w:rFonts w:eastAsia="Times New Roman"/>
                <w:noProof/>
              </w:rPr>
              <w:t>Предности</w:t>
            </w:r>
            <w:r w:rsidR="00A76EB0">
              <w:rPr>
                <w:noProof/>
                <w:webHidden/>
              </w:rPr>
              <w:tab/>
            </w:r>
            <w:r w:rsidR="00A76EB0">
              <w:rPr>
                <w:noProof/>
                <w:webHidden/>
              </w:rPr>
              <w:fldChar w:fldCharType="begin"/>
            </w:r>
            <w:r w:rsidR="00A76EB0">
              <w:rPr>
                <w:noProof/>
                <w:webHidden/>
              </w:rPr>
              <w:instrText xml:space="preserve"> PAGEREF _Toc136702844 \h </w:instrText>
            </w:r>
            <w:r w:rsidR="00A76EB0">
              <w:rPr>
                <w:noProof/>
                <w:webHidden/>
              </w:rPr>
            </w:r>
            <w:r w:rsidR="00A76EB0">
              <w:rPr>
                <w:noProof/>
                <w:webHidden/>
              </w:rPr>
              <w:fldChar w:fldCharType="separate"/>
            </w:r>
            <w:r w:rsidR="00A76EB0">
              <w:rPr>
                <w:noProof/>
                <w:webHidden/>
              </w:rPr>
              <w:t>7</w:t>
            </w:r>
            <w:r w:rsidR="00A76EB0">
              <w:rPr>
                <w:noProof/>
                <w:webHidden/>
              </w:rPr>
              <w:fldChar w:fldCharType="end"/>
            </w:r>
          </w:hyperlink>
        </w:p>
        <w:p w14:paraId="51E44D8F"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5" w:history="1">
            <w:r w:rsidR="00A76EB0" w:rsidRPr="00342E31">
              <w:rPr>
                <w:rStyle w:val="Hyperlink"/>
                <w:rFonts w:eastAsia="Times New Roman"/>
                <w:noProof/>
              </w:rPr>
              <w:t>2.2.</w:t>
            </w:r>
            <w:r w:rsidR="00A76EB0">
              <w:rPr>
                <w:rFonts w:asciiTheme="minorHAnsi" w:eastAsiaTheme="minorEastAsia" w:hAnsiTheme="minorHAnsi"/>
                <w:noProof/>
                <w:sz w:val="22"/>
                <w:lang w:eastAsia="sr-Cyrl-RS"/>
              </w:rPr>
              <w:tab/>
            </w:r>
            <w:r w:rsidR="00A76EB0" w:rsidRPr="00342E31">
              <w:rPr>
                <w:rStyle w:val="Hyperlink"/>
                <w:rFonts w:eastAsia="Times New Roman"/>
                <w:noProof/>
              </w:rPr>
              <w:t>Недостаци</w:t>
            </w:r>
            <w:r w:rsidR="00A76EB0">
              <w:rPr>
                <w:noProof/>
                <w:webHidden/>
              </w:rPr>
              <w:tab/>
            </w:r>
            <w:r w:rsidR="00A76EB0">
              <w:rPr>
                <w:noProof/>
                <w:webHidden/>
              </w:rPr>
              <w:fldChar w:fldCharType="begin"/>
            </w:r>
            <w:r w:rsidR="00A76EB0">
              <w:rPr>
                <w:noProof/>
                <w:webHidden/>
              </w:rPr>
              <w:instrText xml:space="preserve"> PAGEREF _Toc136702845 \h </w:instrText>
            </w:r>
            <w:r w:rsidR="00A76EB0">
              <w:rPr>
                <w:noProof/>
                <w:webHidden/>
              </w:rPr>
            </w:r>
            <w:r w:rsidR="00A76EB0">
              <w:rPr>
                <w:noProof/>
                <w:webHidden/>
              </w:rPr>
              <w:fldChar w:fldCharType="separate"/>
            </w:r>
            <w:r w:rsidR="00A76EB0">
              <w:rPr>
                <w:noProof/>
                <w:webHidden/>
              </w:rPr>
              <w:t>8</w:t>
            </w:r>
            <w:r w:rsidR="00A76EB0">
              <w:rPr>
                <w:noProof/>
                <w:webHidden/>
              </w:rPr>
              <w:fldChar w:fldCharType="end"/>
            </w:r>
          </w:hyperlink>
        </w:p>
        <w:p w14:paraId="3E8038EC" w14:textId="77777777" w:rsidR="00A76EB0" w:rsidRDefault="00FC0454" w:rsidP="00A76EB0">
          <w:pPr>
            <w:pStyle w:val="TOC1"/>
            <w:tabs>
              <w:tab w:val="left" w:pos="1320"/>
              <w:tab w:val="right" w:leader="dot" w:pos="9016"/>
            </w:tabs>
            <w:ind w:left="949" w:hanging="240"/>
            <w:rPr>
              <w:rFonts w:asciiTheme="minorHAnsi" w:eastAsiaTheme="minorEastAsia" w:hAnsiTheme="minorHAnsi"/>
              <w:noProof/>
              <w:sz w:val="22"/>
              <w:lang w:eastAsia="sr-Cyrl-RS"/>
            </w:rPr>
          </w:pPr>
          <w:hyperlink w:anchor="_Toc136702846" w:history="1">
            <w:r w:rsidR="00A76EB0" w:rsidRPr="00342E31">
              <w:rPr>
                <w:rStyle w:val="Hyperlink"/>
                <w:rFonts w:eastAsia="Times New Roman"/>
                <w:noProof/>
              </w:rPr>
              <w:t>3.</w:t>
            </w:r>
            <w:r w:rsidR="00A76EB0">
              <w:rPr>
                <w:rFonts w:asciiTheme="minorHAnsi" w:eastAsiaTheme="minorEastAsia" w:hAnsiTheme="minorHAnsi"/>
                <w:noProof/>
                <w:sz w:val="22"/>
                <w:lang w:eastAsia="sr-Cyrl-RS"/>
              </w:rPr>
              <w:tab/>
            </w:r>
            <w:r w:rsidR="00A76EB0" w:rsidRPr="00342E31">
              <w:rPr>
                <w:rStyle w:val="Hyperlink"/>
                <w:rFonts w:eastAsia="Calibri"/>
                <w:noProof/>
              </w:rPr>
              <w:t>Основне карактеристике нове заједничке аграрне политике ЕУ (2023.-2027.)</w:t>
            </w:r>
            <w:r w:rsidR="00A76EB0">
              <w:rPr>
                <w:noProof/>
                <w:webHidden/>
              </w:rPr>
              <w:tab/>
            </w:r>
            <w:r w:rsidR="00A76EB0">
              <w:rPr>
                <w:noProof/>
                <w:webHidden/>
              </w:rPr>
              <w:fldChar w:fldCharType="begin"/>
            </w:r>
            <w:r w:rsidR="00A76EB0">
              <w:rPr>
                <w:noProof/>
                <w:webHidden/>
              </w:rPr>
              <w:instrText xml:space="preserve"> PAGEREF _Toc136702846 \h </w:instrText>
            </w:r>
            <w:r w:rsidR="00A76EB0">
              <w:rPr>
                <w:noProof/>
                <w:webHidden/>
              </w:rPr>
            </w:r>
            <w:r w:rsidR="00A76EB0">
              <w:rPr>
                <w:noProof/>
                <w:webHidden/>
              </w:rPr>
              <w:fldChar w:fldCharType="separate"/>
            </w:r>
            <w:r w:rsidR="00A76EB0">
              <w:rPr>
                <w:noProof/>
                <w:webHidden/>
              </w:rPr>
              <w:t>10</w:t>
            </w:r>
            <w:r w:rsidR="00A76EB0">
              <w:rPr>
                <w:noProof/>
                <w:webHidden/>
              </w:rPr>
              <w:fldChar w:fldCharType="end"/>
            </w:r>
          </w:hyperlink>
        </w:p>
        <w:p w14:paraId="581484A2" w14:textId="77777777" w:rsidR="00A76EB0" w:rsidRDefault="00FC0454">
          <w:pPr>
            <w:pStyle w:val="TOC2"/>
            <w:tabs>
              <w:tab w:val="left" w:pos="1540"/>
              <w:tab w:val="right" w:leader="dot" w:pos="9016"/>
            </w:tabs>
            <w:rPr>
              <w:rFonts w:asciiTheme="minorHAnsi" w:eastAsiaTheme="minorEastAsia" w:hAnsiTheme="minorHAnsi"/>
              <w:noProof/>
              <w:sz w:val="22"/>
              <w:lang w:eastAsia="sr-Cyrl-RS"/>
            </w:rPr>
          </w:pPr>
          <w:hyperlink w:anchor="_Toc136702847" w:history="1">
            <w:r w:rsidR="00A76EB0" w:rsidRPr="00342E31">
              <w:rPr>
                <w:rStyle w:val="Hyperlink"/>
                <w:rFonts w:eastAsia="Times New Roman"/>
                <w:noProof/>
              </w:rPr>
              <w:t>3.1.</w:t>
            </w:r>
            <w:r w:rsidR="00A76EB0">
              <w:rPr>
                <w:rFonts w:asciiTheme="minorHAnsi" w:eastAsiaTheme="minorEastAsia" w:hAnsiTheme="minorHAnsi"/>
                <w:noProof/>
                <w:sz w:val="22"/>
                <w:lang w:eastAsia="sr-Cyrl-RS"/>
              </w:rPr>
              <w:tab/>
            </w:r>
            <w:r w:rsidR="00A76EB0" w:rsidRPr="00342E31">
              <w:rPr>
                <w:rStyle w:val="Hyperlink"/>
                <w:rFonts w:eastAsia="Times New Roman"/>
                <w:noProof/>
              </w:rPr>
              <w:t>Импликације на аграрни сектор Европске уније (ЕУ)</w:t>
            </w:r>
            <w:r w:rsidR="00A76EB0">
              <w:rPr>
                <w:noProof/>
                <w:webHidden/>
              </w:rPr>
              <w:tab/>
            </w:r>
            <w:r w:rsidR="00A76EB0">
              <w:rPr>
                <w:noProof/>
                <w:webHidden/>
              </w:rPr>
              <w:fldChar w:fldCharType="begin"/>
            </w:r>
            <w:r w:rsidR="00A76EB0">
              <w:rPr>
                <w:noProof/>
                <w:webHidden/>
              </w:rPr>
              <w:instrText xml:space="preserve"> PAGEREF _Toc136702847 \h </w:instrText>
            </w:r>
            <w:r w:rsidR="00A76EB0">
              <w:rPr>
                <w:noProof/>
                <w:webHidden/>
              </w:rPr>
            </w:r>
            <w:r w:rsidR="00A76EB0">
              <w:rPr>
                <w:noProof/>
                <w:webHidden/>
              </w:rPr>
              <w:fldChar w:fldCharType="separate"/>
            </w:r>
            <w:r w:rsidR="00A76EB0">
              <w:rPr>
                <w:noProof/>
                <w:webHidden/>
              </w:rPr>
              <w:t>11</w:t>
            </w:r>
            <w:r w:rsidR="00A76EB0">
              <w:rPr>
                <w:noProof/>
                <w:webHidden/>
              </w:rPr>
              <w:fldChar w:fldCharType="end"/>
            </w:r>
          </w:hyperlink>
        </w:p>
        <w:p w14:paraId="26311EF5" w14:textId="77777777" w:rsidR="00A76EB0" w:rsidRDefault="00FC0454">
          <w:pPr>
            <w:pStyle w:val="TOC1"/>
            <w:tabs>
              <w:tab w:val="right" w:leader="dot" w:pos="9016"/>
            </w:tabs>
            <w:rPr>
              <w:rFonts w:asciiTheme="minorHAnsi" w:eastAsiaTheme="minorEastAsia" w:hAnsiTheme="minorHAnsi"/>
              <w:noProof/>
              <w:sz w:val="22"/>
              <w:lang w:eastAsia="sr-Cyrl-RS"/>
            </w:rPr>
          </w:pPr>
          <w:hyperlink w:anchor="_Toc136702848" w:history="1">
            <w:r w:rsidR="00A76EB0" w:rsidRPr="00342E31">
              <w:rPr>
                <w:rStyle w:val="Hyperlink"/>
                <w:noProof/>
              </w:rPr>
              <w:t>Закључак</w:t>
            </w:r>
            <w:r w:rsidR="00A76EB0">
              <w:rPr>
                <w:noProof/>
                <w:webHidden/>
              </w:rPr>
              <w:tab/>
            </w:r>
            <w:r w:rsidR="00A76EB0">
              <w:rPr>
                <w:noProof/>
                <w:webHidden/>
              </w:rPr>
              <w:fldChar w:fldCharType="begin"/>
            </w:r>
            <w:r w:rsidR="00A76EB0">
              <w:rPr>
                <w:noProof/>
                <w:webHidden/>
              </w:rPr>
              <w:instrText xml:space="preserve"> PAGEREF _Toc136702848 \h </w:instrText>
            </w:r>
            <w:r w:rsidR="00A76EB0">
              <w:rPr>
                <w:noProof/>
                <w:webHidden/>
              </w:rPr>
            </w:r>
            <w:r w:rsidR="00A76EB0">
              <w:rPr>
                <w:noProof/>
                <w:webHidden/>
              </w:rPr>
              <w:fldChar w:fldCharType="separate"/>
            </w:r>
            <w:r w:rsidR="00A76EB0">
              <w:rPr>
                <w:noProof/>
                <w:webHidden/>
              </w:rPr>
              <w:t>13</w:t>
            </w:r>
            <w:r w:rsidR="00A76EB0">
              <w:rPr>
                <w:noProof/>
                <w:webHidden/>
              </w:rPr>
              <w:fldChar w:fldCharType="end"/>
            </w:r>
          </w:hyperlink>
        </w:p>
        <w:p w14:paraId="457D6A41" w14:textId="77777777" w:rsidR="00A76EB0" w:rsidRDefault="00FC0454">
          <w:pPr>
            <w:pStyle w:val="TOC1"/>
            <w:tabs>
              <w:tab w:val="right" w:leader="dot" w:pos="9016"/>
            </w:tabs>
            <w:rPr>
              <w:rFonts w:asciiTheme="minorHAnsi" w:eastAsiaTheme="minorEastAsia" w:hAnsiTheme="minorHAnsi"/>
              <w:noProof/>
              <w:sz w:val="22"/>
              <w:lang w:eastAsia="sr-Cyrl-RS"/>
            </w:rPr>
          </w:pPr>
          <w:hyperlink w:anchor="_Toc136702849" w:history="1">
            <w:r w:rsidR="00A76EB0" w:rsidRPr="00342E31">
              <w:rPr>
                <w:rStyle w:val="Hyperlink"/>
                <w:noProof/>
              </w:rPr>
              <w:t>Литература</w:t>
            </w:r>
            <w:r w:rsidR="00A76EB0">
              <w:rPr>
                <w:noProof/>
                <w:webHidden/>
              </w:rPr>
              <w:tab/>
            </w:r>
            <w:r w:rsidR="00A76EB0">
              <w:rPr>
                <w:noProof/>
                <w:webHidden/>
              </w:rPr>
              <w:fldChar w:fldCharType="begin"/>
            </w:r>
            <w:r w:rsidR="00A76EB0">
              <w:rPr>
                <w:noProof/>
                <w:webHidden/>
              </w:rPr>
              <w:instrText xml:space="preserve"> PAGEREF _Toc136702849 \h </w:instrText>
            </w:r>
            <w:r w:rsidR="00A76EB0">
              <w:rPr>
                <w:noProof/>
                <w:webHidden/>
              </w:rPr>
            </w:r>
            <w:r w:rsidR="00A76EB0">
              <w:rPr>
                <w:noProof/>
                <w:webHidden/>
              </w:rPr>
              <w:fldChar w:fldCharType="separate"/>
            </w:r>
            <w:r w:rsidR="00A76EB0">
              <w:rPr>
                <w:noProof/>
                <w:webHidden/>
              </w:rPr>
              <w:t>14</w:t>
            </w:r>
            <w:r w:rsidR="00A76EB0">
              <w:rPr>
                <w:noProof/>
                <w:webHidden/>
              </w:rPr>
              <w:fldChar w:fldCharType="end"/>
            </w:r>
          </w:hyperlink>
        </w:p>
        <w:p w14:paraId="4101652C" w14:textId="77777777" w:rsidR="00B60EEB" w:rsidRPr="00B60EEB" w:rsidRDefault="00B60EEB" w:rsidP="00B60EEB">
          <w:pPr>
            <w:ind w:firstLine="0"/>
            <w:rPr>
              <w:bCs/>
              <w:noProof/>
            </w:rPr>
          </w:pPr>
          <w:r w:rsidRPr="00AB084E">
            <w:rPr>
              <w:b/>
              <w:bCs/>
              <w:noProof/>
            </w:rPr>
            <w:fldChar w:fldCharType="end"/>
          </w:r>
        </w:p>
      </w:sdtContent>
    </w:sdt>
    <w:p w14:paraId="4B99056E" w14:textId="77777777" w:rsidR="00140D9D" w:rsidRDefault="00140D9D" w:rsidP="00B60EEB">
      <w:pPr>
        <w:spacing w:line="276" w:lineRule="auto"/>
        <w:ind w:firstLine="0"/>
        <w:jc w:val="left"/>
      </w:pPr>
      <w:r>
        <w:br w:type="page"/>
      </w:r>
    </w:p>
    <w:p w14:paraId="2F56718C" w14:textId="77777777" w:rsidR="00140D9D" w:rsidRPr="00140D9D" w:rsidRDefault="739E6135" w:rsidP="005B19F0">
      <w:pPr>
        <w:pStyle w:val="Heading1"/>
      </w:pPr>
      <w:bookmarkStart w:id="0" w:name="_Toc125246142"/>
      <w:bookmarkStart w:id="1" w:name="_Toc136702838"/>
      <w:r>
        <w:lastRenderedPageBreak/>
        <w:t>Увод</w:t>
      </w:r>
      <w:bookmarkEnd w:id="0"/>
      <w:bookmarkEnd w:id="1"/>
    </w:p>
    <w:p w14:paraId="41CB7C0F" w14:textId="77777777" w:rsidR="00584ACC" w:rsidRPr="00EE5CE0" w:rsidRDefault="00584ACC" w:rsidP="00584ACC">
      <w:pPr>
        <w:rPr>
          <w:lang w:val="ru-RU"/>
        </w:rPr>
      </w:pPr>
    </w:p>
    <w:p w14:paraId="584F78EC" w14:textId="1262464D" w:rsidR="739E6135" w:rsidRDefault="739E6135" w:rsidP="00584ACC">
      <w:r w:rsidRPr="739E6135">
        <w:t>Аграрна политика Европске уније (</w:t>
      </w:r>
      <w:r w:rsidR="00584ACC">
        <w:t>ЕУ</w:t>
      </w:r>
      <w:r w:rsidRPr="739E6135">
        <w:t>) је скуп мера и прописа које ЕУ примењује у вези са пољопривредом и руралним развојем. Циљ аграрне политике ЕУ је осигурање стабилности и конкурентности пољопривреде, обезбеђивање пристојних животних услова за пољопривреднике, заштита околине и обезбеђивање безбедне и квалитетне хране за грађане ЕУ.</w:t>
      </w:r>
    </w:p>
    <w:p w14:paraId="084C0140" w14:textId="77CEFB47" w:rsidR="739E6135" w:rsidRDefault="739E6135" w:rsidP="00F32458">
      <w:r w:rsidRPr="739E6135">
        <w:t>Аграрна политика ЕУ почиње своју историју са оснивањем Европске економске заједнице (ЕЕЗ) 1957. године, а данас је постала важан део заједничке политике ЕУ. Један од најважнијих инструмената аграрне политике је Заједничка пољопривредна политика (ЗПП), која укључује субвенције за пољопривреднике, тарифне заштите за аграрне производе, мере унутрашње и спољне трговине, као и мере за развој села и руралних подручја.</w:t>
      </w:r>
    </w:p>
    <w:p w14:paraId="1843AF9D" w14:textId="77777777" w:rsidR="00F32458" w:rsidRDefault="00F32458">
      <w:pPr>
        <w:spacing w:after="200" w:line="276" w:lineRule="auto"/>
        <w:ind w:firstLine="0"/>
        <w:jc w:val="left"/>
        <w:rPr>
          <w:rFonts w:eastAsia="Times New Roman" w:cstheme="majorBidi"/>
          <w:b/>
          <w:bCs/>
          <w:caps/>
          <w:color w:val="F0AD00" w:themeColor="accent1"/>
          <w:sz w:val="28"/>
          <w:szCs w:val="28"/>
        </w:rPr>
      </w:pPr>
      <w:r>
        <w:rPr>
          <w:rFonts w:eastAsia="Times New Roman"/>
        </w:rPr>
        <w:br w:type="page"/>
      </w:r>
    </w:p>
    <w:p w14:paraId="59FAFC6B" w14:textId="5A8AC20F" w:rsidR="739E6135" w:rsidRDefault="739E6135" w:rsidP="00C00D86">
      <w:pPr>
        <w:pStyle w:val="Heading1"/>
        <w:numPr>
          <w:ilvl w:val="0"/>
          <w:numId w:val="1"/>
        </w:numPr>
        <w:rPr>
          <w:rFonts w:eastAsia="Calibri"/>
        </w:rPr>
      </w:pPr>
      <w:bookmarkStart w:id="2" w:name="_Toc136702839"/>
      <w:r w:rsidRPr="739E6135">
        <w:rPr>
          <w:rFonts w:eastAsia="Times New Roman"/>
        </w:rPr>
        <w:lastRenderedPageBreak/>
        <w:t>Заједничке аграрне политике</w:t>
      </w:r>
      <w:bookmarkEnd w:id="2"/>
    </w:p>
    <w:p w14:paraId="3D46AF03" w14:textId="6D232D51" w:rsidR="739E6135" w:rsidRPr="00584ACC" w:rsidRDefault="739E6135" w:rsidP="00C00D86">
      <w:pPr>
        <w:pStyle w:val="Heading2"/>
        <w:numPr>
          <w:ilvl w:val="1"/>
          <w:numId w:val="2"/>
        </w:numPr>
        <w:rPr>
          <w:rFonts w:eastAsia="Calibri"/>
        </w:rPr>
      </w:pPr>
      <w:bookmarkStart w:id="3" w:name="_Toc136702840"/>
      <w:bookmarkStart w:id="4" w:name="_Toc125246151"/>
      <w:r w:rsidRPr="00584ACC">
        <w:rPr>
          <w:rFonts w:eastAsia="Times New Roman"/>
        </w:rPr>
        <w:t>Историја заједничке аграрне политике</w:t>
      </w:r>
      <w:bookmarkEnd w:id="3"/>
    </w:p>
    <w:p w14:paraId="330044F9" w14:textId="125FFE34" w:rsidR="739E6135" w:rsidRDefault="739E6135" w:rsidP="739E6135">
      <w:pPr>
        <w:spacing w:after="200" w:line="276" w:lineRule="auto"/>
        <w:ind w:left="349"/>
        <w:jc w:val="center"/>
        <w:rPr>
          <w:rFonts w:eastAsia="Times New Roman" w:cs="Times New Roman"/>
          <w:szCs w:val="24"/>
        </w:rPr>
      </w:pPr>
    </w:p>
    <w:p w14:paraId="41286E27" w14:textId="6E8D1509" w:rsidR="739E6135" w:rsidRDefault="739E6135" w:rsidP="00F32458">
      <w:r w:rsidRPr="739E6135">
        <w:t>Заједничка пољопривредна политика (ЗПП) постала је важан део Европске уније (тадашња Европска економска заједница) од њеног оснивања 1957. године. Основни циљ ЗПП био је да промовише стабилност и процветање пољопривреде у земљама чланицама, али и да обезбеди достатне квантитете и стабилне цене пољопривредних производа за потребе унутрашњег тржишта.</w:t>
      </w:r>
    </w:p>
    <w:p w14:paraId="749FA951" w14:textId="70CF2EA5" w:rsidR="739E6135" w:rsidRDefault="739E6135" w:rsidP="00F32458">
      <w:r w:rsidRPr="739E6135">
        <w:t>ЗПП је заснована на принципима заједничке тржишне организације и финансира се из Заједничког аграрног фонда, који се финансира из доприноса земаља чланица. Основне мере ЗПП укључују</w:t>
      </w:r>
      <w:r w:rsidR="00F32458">
        <w:rPr>
          <w:rStyle w:val="FootnoteReference"/>
        </w:rPr>
        <w:footnoteReference w:id="1"/>
      </w:r>
      <w:r w:rsidRPr="739E6135">
        <w:t>:</w:t>
      </w:r>
    </w:p>
    <w:p w14:paraId="203A853B" w14:textId="4623AAFB" w:rsidR="739E6135" w:rsidRPr="00F32458" w:rsidRDefault="00F32458" w:rsidP="00C00D86">
      <w:pPr>
        <w:pStyle w:val="ListParagraph"/>
        <w:numPr>
          <w:ilvl w:val="0"/>
          <w:numId w:val="3"/>
        </w:numPr>
        <w:rPr>
          <w:rFonts w:eastAsia="Calibri"/>
          <w:szCs w:val="24"/>
        </w:rPr>
      </w:pPr>
      <w:r w:rsidRPr="00F32458">
        <w:rPr>
          <w:rFonts w:eastAsia="Times New Roman" w:cs="Times New Roman"/>
          <w:szCs w:val="24"/>
        </w:rPr>
        <w:t>Тарифна заштита –</w:t>
      </w:r>
      <w:r w:rsidR="739E6135" w:rsidRPr="00F32458">
        <w:rPr>
          <w:rFonts w:eastAsia="Times New Roman" w:cs="Times New Roman"/>
          <w:szCs w:val="24"/>
        </w:rPr>
        <w:t xml:space="preserve"> ЕУ примењује тарифне баријере и царине на увоз пољопривредних производа изван ЕУ како би заштитила домаће пољопривреднике од конкуренције. Ово им омогућава да одрже стабилне цене и приходе.</w:t>
      </w:r>
    </w:p>
    <w:p w14:paraId="40A63A1C" w14:textId="018A9551" w:rsidR="739E6135" w:rsidRPr="00F32458" w:rsidRDefault="00F32458" w:rsidP="00C00D86">
      <w:pPr>
        <w:pStyle w:val="ListParagraph"/>
        <w:numPr>
          <w:ilvl w:val="0"/>
          <w:numId w:val="3"/>
        </w:numPr>
        <w:rPr>
          <w:rFonts w:eastAsia="Calibri"/>
          <w:szCs w:val="24"/>
        </w:rPr>
      </w:pPr>
      <w:r w:rsidRPr="00F32458">
        <w:rPr>
          <w:rFonts w:eastAsia="Times New Roman" w:cs="Times New Roman"/>
          <w:szCs w:val="24"/>
        </w:rPr>
        <w:t>Подршка цена –</w:t>
      </w:r>
      <w:r w:rsidR="739E6135" w:rsidRPr="00F32458">
        <w:rPr>
          <w:rFonts w:eastAsia="Times New Roman" w:cs="Times New Roman"/>
          <w:szCs w:val="24"/>
        </w:rPr>
        <w:t xml:space="preserve"> ЕУ гарантује минималне цене за одређене производе и, уколико цена на тржишту опадне испод те гарантоване цене, пружа додатну помоћ пољопривредницима.</w:t>
      </w:r>
    </w:p>
    <w:p w14:paraId="1D797320" w14:textId="5B6989C5" w:rsidR="739E6135" w:rsidRPr="00F32458" w:rsidRDefault="00F32458" w:rsidP="00C00D86">
      <w:pPr>
        <w:pStyle w:val="ListParagraph"/>
        <w:numPr>
          <w:ilvl w:val="0"/>
          <w:numId w:val="3"/>
        </w:numPr>
        <w:rPr>
          <w:rFonts w:eastAsia="Calibri"/>
          <w:szCs w:val="24"/>
        </w:rPr>
      </w:pPr>
      <w:r w:rsidRPr="00F32458">
        <w:rPr>
          <w:rFonts w:eastAsia="Times New Roman" w:cs="Times New Roman"/>
          <w:szCs w:val="24"/>
        </w:rPr>
        <w:t xml:space="preserve">Директне субвенције – ЗПП пружа директне субвенције </w:t>
      </w:r>
      <w:r w:rsidR="739E6135" w:rsidRPr="00F32458">
        <w:rPr>
          <w:rFonts w:eastAsia="Times New Roman" w:cs="Times New Roman"/>
          <w:szCs w:val="24"/>
        </w:rPr>
        <w:t>пољопривредницима, које су базиране на површини земљишта или производњи. Ове субвенције имају за циљ да помогну пољопривредницима у подизању производње и обезбеђивању прихода.</w:t>
      </w:r>
    </w:p>
    <w:p w14:paraId="7211119F" w14:textId="2F370817" w:rsidR="739E6135" w:rsidRPr="00F32458" w:rsidRDefault="739E6135" w:rsidP="00C00D86">
      <w:pPr>
        <w:pStyle w:val="ListParagraph"/>
        <w:numPr>
          <w:ilvl w:val="0"/>
          <w:numId w:val="3"/>
        </w:numPr>
        <w:rPr>
          <w:rFonts w:eastAsia="Calibri"/>
          <w:szCs w:val="24"/>
        </w:rPr>
      </w:pPr>
      <w:r w:rsidRPr="00F32458">
        <w:rPr>
          <w:rFonts w:eastAsia="Times New Roman" w:cs="Times New Roman"/>
          <w:szCs w:val="24"/>
        </w:rPr>
        <w:t>Мере унутрашње трго</w:t>
      </w:r>
      <w:r w:rsidR="00F32458" w:rsidRPr="00F32458">
        <w:rPr>
          <w:rFonts w:eastAsia="Times New Roman" w:cs="Times New Roman"/>
          <w:szCs w:val="24"/>
        </w:rPr>
        <w:t>вине –</w:t>
      </w:r>
      <w:r w:rsidRPr="00F32458">
        <w:rPr>
          <w:rFonts w:eastAsia="Times New Roman" w:cs="Times New Roman"/>
          <w:szCs w:val="24"/>
        </w:rPr>
        <w:t xml:space="preserve"> ЗПП регулише трговину пољопривредним производима унутар ЕУ, укључујући стандарде квалитета,</w:t>
      </w:r>
      <w:r w:rsidRPr="739E6135">
        <w:t xml:space="preserve"> обележавање, правила за хигијену и безбедност, контролу квалитета и заштиту потрошача.</w:t>
      </w:r>
    </w:p>
    <w:p w14:paraId="4F3CF0D1" w14:textId="77777777" w:rsidR="00E307E3" w:rsidRDefault="00E307E3">
      <w:pPr>
        <w:spacing w:after="200" w:line="276" w:lineRule="auto"/>
        <w:ind w:firstLine="0"/>
        <w:jc w:val="left"/>
      </w:pPr>
      <w:r>
        <w:br w:type="page"/>
      </w:r>
    </w:p>
    <w:p w14:paraId="19126493" w14:textId="52DEFA80" w:rsidR="739E6135" w:rsidRDefault="739E6135" w:rsidP="00F32458">
      <w:pPr>
        <w:rPr>
          <w:rFonts w:eastAsia="Calibri"/>
          <w:szCs w:val="24"/>
        </w:rPr>
      </w:pPr>
      <w:r w:rsidRPr="739E6135">
        <w:lastRenderedPageBreak/>
        <w:t>Од свог оснивања, ЗПП је претрпела неколико промена и реформи. У првим деценијама својег постојања, ЗПП је била усмерена на повећање производње и стабилизацију тржишта. Касније, реформе ЗПП усмерене су на привлачење више пажње ка заштити животне средине, одрживом развоју и руралном развоју.</w:t>
      </w:r>
    </w:p>
    <w:p w14:paraId="63D96654" w14:textId="16D7E88C" w:rsidR="739E6135" w:rsidRDefault="739E6135" w:rsidP="00F32458">
      <w:pPr>
        <w:rPr>
          <w:rFonts w:eastAsia="Calibri"/>
          <w:szCs w:val="24"/>
        </w:rPr>
      </w:pPr>
      <w:r w:rsidRPr="739E6135">
        <w:t>Такође, важно је напоменути да ЗПП има и своје критичаре. Неки сматрају да ЗПП доводи до неравномерног расподеле субвенција, промовише интензивну пољопривреду која може бити штетна за околину и доводи до неравноправне конкуренције са пољопривредницима изван ЕУ. У сваком случају, Заједничка пољопривредна политика остаје кључни инструмент у промоцији стабилности, сигурности и одрживости пољопривреде у Европској унији.</w:t>
      </w:r>
    </w:p>
    <w:p w14:paraId="252DA032" w14:textId="0CDAAAEA" w:rsidR="739E6135" w:rsidRDefault="739E6135" w:rsidP="00C00D86">
      <w:pPr>
        <w:pStyle w:val="Heading2"/>
        <w:numPr>
          <w:ilvl w:val="1"/>
          <w:numId w:val="2"/>
        </w:numPr>
      </w:pPr>
      <w:bookmarkStart w:id="5" w:name="_Toc136702841"/>
      <w:r w:rsidRPr="739E6135">
        <w:rPr>
          <w:rFonts w:eastAsia="Times New Roman"/>
        </w:rPr>
        <w:t>Историјски развој ЗПП</w:t>
      </w:r>
      <w:bookmarkEnd w:id="5"/>
    </w:p>
    <w:p w14:paraId="3BDB7FF7" w14:textId="77777777" w:rsidR="00584ACC" w:rsidRDefault="00584ACC" w:rsidP="739E6135">
      <w:pPr>
        <w:jc w:val="left"/>
        <w:rPr>
          <w:rFonts w:eastAsia="Times New Roman" w:cs="Times New Roman"/>
          <w:szCs w:val="24"/>
        </w:rPr>
      </w:pPr>
    </w:p>
    <w:p w14:paraId="41AA649A" w14:textId="5C88BB92" w:rsidR="739E6135" w:rsidRDefault="739E6135" w:rsidP="739E6135">
      <w:pPr>
        <w:jc w:val="left"/>
      </w:pPr>
      <w:r w:rsidRPr="739E6135">
        <w:rPr>
          <w:rFonts w:eastAsia="Times New Roman" w:cs="Times New Roman"/>
          <w:szCs w:val="24"/>
        </w:rPr>
        <w:t>Историјски развој Заједничке пољопривредне политике (ЗПП) може се поделити на неколико фаза</w:t>
      </w:r>
      <w:r w:rsidR="00F32458">
        <w:rPr>
          <w:rStyle w:val="FootnoteReference"/>
          <w:rFonts w:eastAsia="Times New Roman" w:cs="Times New Roman"/>
          <w:szCs w:val="24"/>
        </w:rPr>
        <w:footnoteReference w:id="2"/>
      </w:r>
      <w:r w:rsidRPr="739E6135">
        <w:rPr>
          <w:rFonts w:eastAsia="Times New Roman" w:cs="Times New Roman"/>
          <w:szCs w:val="24"/>
        </w:rPr>
        <w:t>:</w:t>
      </w:r>
    </w:p>
    <w:p w14:paraId="2E9C3A2C" w14:textId="3B40CF81" w:rsidR="739E6135" w:rsidRPr="00F32458" w:rsidRDefault="739E6135" w:rsidP="00C00D86">
      <w:pPr>
        <w:pStyle w:val="ListParagraph"/>
        <w:numPr>
          <w:ilvl w:val="0"/>
          <w:numId w:val="4"/>
        </w:numPr>
        <w:jc w:val="left"/>
        <w:rPr>
          <w:rFonts w:eastAsia="Times New Roman" w:cs="Times New Roman"/>
          <w:szCs w:val="24"/>
        </w:rPr>
      </w:pPr>
      <w:r w:rsidRPr="00F32458">
        <w:rPr>
          <w:rFonts w:eastAsia="Times New Roman" w:cs="Times New Roman"/>
          <w:szCs w:val="24"/>
        </w:rPr>
        <w:t>Почетак</w:t>
      </w:r>
      <w:r w:rsidR="00F32458" w:rsidRPr="00F32458">
        <w:rPr>
          <w:rFonts w:eastAsia="Times New Roman" w:cs="Times New Roman"/>
          <w:szCs w:val="24"/>
        </w:rPr>
        <w:t xml:space="preserve"> и рани период (1957-1970) –</w:t>
      </w:r>
      <w:r w:rsidRPr="00F32458">
        <w:rPr>
          <w:rFonts w:eastAsia="Times New Roman" w:cs="Times New Roman"/>
          <w:szCs w:val="24"/>
        </w:rPr>
        <w:t xml:space="preserve"> ЗПП је уведена 1957. године како би се промовисала стабилност и процветање пољопривреде у земљама чланицама Европске економске заједнице (ЕЕЗ). У овом периоду, главни циљ је био осигуравање пристојних прихода за пољопривреднике и стабилних цена пољопривредних производа.</w:t>
      </w:r>
    </w:p>
    <w:p w14:paraId="469B2CDF" w14:textId="661434E3" w:rsidR="739E6135" w:rsidRPr="00F32458" w:rsidRDefault="00F32458" w:rsidP="00C00D86">
      <w:pPr>
        <w:pStyle w:val="ListParagraph"/>
        <w:numPr>
          <w:ilvl w:val="0"/>
          <w:numId w:val="4"/>
        </w:numPr>
        <w:jc w:val="left"/>
        <w:rPr>
          <w:rFonts w:eastAsia="Times New Roman" w:cs="Times New Roman"/>
          <w:szCs w:val="24"/>
        </w:rPr>
      </w:pPr>
      <w:bookmarkStart w:id="6" w:name="_GoBack"/>
      <w:r w:rsidRPr="00F32458">
        <w:rPr>
          <w:rFonts w:eastAsia="Times New Roman" w:cs="Times New Roman"/>
          <w:szCs w:val="24"/>
        </w:rPr>
        <w:t>Реформска период (1970-1990) –</w:t>
      </w:r>
      <w:r w:rsidR="739E6135" w:rsidRPr="00F32458">
        <w:rPr>
          <w:rFonts w:eastAsia="Times New Roman" w:cs="Times New Roman"/>
          <w:szCs w:val="24"/>
        </w:rPr>
        <w:t xml:space="preserve"> ЗПП се сусреће са различитим </w:t>
      </w:r>
      <w:bookmarkEnd w:id="6"/>
      <w:r w:rsidR="739E6135" w:rsidRPr="00F32458">
        <w:rPr>
          <w:rFonts w:eastAsia="Times New Roman" w:cs="Times New Roman"/>
          <w:szCs w:val="24"/>
        </w:rPr>
        <w:t>изазовима у овом периоду. Постаје јасно да се пољопривреда претвара у вишак производа, што је доводило до неконтролисаног раста трошкова и складиштења вишка. Као одговор, примењене су различите реформе, укључујући важне промене у систему цена и интервенција.</w:t>
      </w:r>
    </w:p>
    <w:p w14:paraId="7F974FA8" w14:textId="2D2C0CBD" w:rsidR="739E6135" w:rsidRPr="00F32458" w:rsidRDefault="739E6135" w:rsidP="00C00D86">
      <w:pPr>
        <w:pStyle w:val="ListParagraph"/>
        <w:numPr>
          <w:ilvl w:val="0"/>
          <w:numId w:val="4"/>
        </w:numPr>
        <w:jc w:val="left"/>
        <w:rPr>
          <w:rFonts w:eastAsia="Times New Roman" w:cs="Times New Roman"/>
          <w:szCs w:val="24"/>
        </w:rPr>
      </w:pPr>
      <w:r w:rsidRPr="00F32458">
        <w:rPr>
          <w:rFonts w:eastAsia="Times New Roman" w:cs="Times New Roman"/>
          <w:szCs w:val="24"/>
        </w:rPr>
        <w:t>Стабилизациј</w:t>
      </w:r>
      <w:r w:rsidR="00F32458" w:rsidRPr="00F32458">
        <w:rPr>
          <w:rFonts w:eastAsia="Times New Roman" w:cs="Times New Roman"/>
          <w:szCs w:val="24"/>
        </w:rPr>
        <w:t>а и диверзификација (1990-2000) –</w:t>
      </w:r>
      <w:r w:rsidRPr="00F32458">
        <w:rPr>
          <w:rFonts w:eastAsia="Times New Roman" w:cs="Times New Roman"/>
          <w:szCs w:val="24"/>
        </w:rPr>
        <w:t xml:space="preserve"> Ова фаза је обележена стабилизацијом</w:t>
      </w:r>
      <w:r w:rsidR="00F32458" w:rsidRPr="00F32458">
        <w:rPr>
          <w:rFonts w:eastAsia="Times New Roman" w:cs="Times New Roman"/>
          <w:szCs w:val="24"/>
        </w:rPr>
        <w:t xml:space="preserve"> пољопривредних тржишта и потраж</w:t>
      </w:r>
      <w:r w:rsidRPr="00F32458">
        <w:rPr>
          <w:rFonts w:eastAsia="Times New Roman" w:cs="Times New Roman"/>
          <w:szCs w:val="24"/>
        </w:rPr>
        <w:t xml:space="preserve">ње, као и промоцијом диверзификације у пољопривредној производњи и развоју села. У овом периоду, ЗПП постепено шири свој фокус на </w:t>
      </w:r>
      <w:r w:rsidRPr="00F32458">
        <w:rPr>
          <w:rFonts w:eastAsia="Times New Roman" w:cs="Times New Roman"/>
          <w:szCs w:val="24"/>
        </w:rPr>
        <w:lastRenderedPageBreak/>
        <w:t>околину и социјалне аспекте, као и на заштиту потрошача и добробит животиња.</w:t>
      </w:r>
    </w:p>
    <w:p w14:paraId="71F1E9F1" w14:textId="0F7E21D9" w:rsidR="739E6135" w:rsidRPr="00F32458" w:rsidRDefault="00F32458" w:rsidP="00C00D86">
      <w:pPr>
        <w:pStyle w:val="ListParagraph"/>
        <w:numPr>
          <w:ilvl w:val="0"/>
          <w:numId w:val="4"/>
        </w:numPr>
        <w:jc w:val="left"/>
        <w:rPr>
          <w:rFonts w:eastAsia="Times New Roman" w:cs="Times New Roman"/>
          <w:szCs w:val="24"/>
        </w:rPr>
      </w:pPr>
      <w:r w:rsidRPr="00F32458">
        <w:rPr>
          <w:rFonts w:eastAsia="Times New Roman" w:cs="Times New Roman"/>
          <w:szCs w:val="24"/>
        </w:rPr>
        <w:t>Промена усмерења (2000-2013) –</w:t>
      </w:r>
      <w:r w:rsidR="739E6135" w:rsidRPr="00F32458">
        <w:rPr>
          <w:rFonts w:eastAsia="Times New Roman" w:cs="Times New Roman"/>
          <w:szCs w:val="24"/>
        </w:rPr>
        <w:t xml:space="preserve"> У овој фази, ЗПП се претвара у посебну политику развоја села, која постаје саставни део Заједничке политике руралног развоја (ЗПРР). Фокус се шири на различите аспекте руралног развоја, укључујући инфраструктуру, </w:t>
      </w:r>
      <w:r w:rsidR="739E6135" w:rsidRPr="739E6135">
        <w:t>запошљавање, образовање, културу, заштиту животне средине и диверзификацију руралних економија.</w:t>
      </w:r>
    </w:p>
    <w:p w14:paraId="3AA3C4EA" w14:textId="45BDB648" w:rsidR="739E6135" w:rsidRPr="00F32458" w:rsidRDefault="739E6135" w:rsidP="00C00D86">
      <w:pPr>
        <w:pStyle w:val="ListParagraph"/>
        <w:numPr>
          <w:ilvl w:val="0"/>
          <w:numId w:val="4"/>
        </w:numPr>
      </w:pPr>
      <w:r w:rsidRPr="739E6135">
        <w:t>Т</w:t>
      </w:r>
      <w:r w:rsidR="00F32458">
        <w:t>ренутни развој (2013-данас) –</w:t>
      </w:r>
      <w:r w:rsidRPr="739E6135">
        <w:t xml:space="preserve"> У последњој фази, ЗПП наставља да се развија и адаптира на промене у окружењу и потребе пољопривреде и руралних подручја. Постоје нове иницијативе усмерене на одрживу производњу, климатске промене, заштиту биодиверзитета и селскотуризам.</w:t>
      </w:r>
    </w:p>
    <w:p w14:paraId="4CBDB525" w14:textId="28787375" w:rsidR="739E6135" w:rsidRDefault="739E6135" w:rsidP="00F32458">
      <w:pPr>
        <w:rPr>
          <w:rFonts w:eastAsia="Calibri"/>
          <w:szCs w:val="24"/>
        </w:rPr>
      </w:pPr>
      <w:r w:rsidRPr="739E6135">
        <w:t>Као и све политике, ЗПП је еволуирала и променила се у одговору на промене у окружењу, тржиштима и потребама пољопривреде. Њена историја је обележена континуираним адаптирањем и реформама у сврху промовисања стабилности, конкурентности, одрживости и добробити у европској пољопривреди и руралним подручјима.</w:t>
      </w:r>
    </w:p>
    <w:p w14:paraId="436AF8DC" w14:textId="6EC8FFF8" w:rsidR="739E6135" w:rsidRDefault="739E6135" w:rsidP="00C00D86">
      <w:pPr>
        <w:pStyle w:val="Heading2"/>
        <w:numPr>
          <w:ilvl w:val="1"/>
          <w:numId w:val="2"/>
        </w:numPr>
        <w:rPr>
          <w:rFonts w:eastAsia="Calibri"/>
        </w:rPr>
      </w:pPr>
      <w:bookmarkStart w:id="7" w:name="_Toc136702842"/>
      <w:r w:rsidRPr="739E6135">
        <w:rPr>
          <w:rFonts w:eastAsia="Times New Roman"/>
        </w:rPr>
        <w:t>Два стуба ЗПП и финансирање ЗПП</w:t>
      </w:r>
      <w:bookmarkEnd w:id="7"/>
    </w:p>
    <w:p w14:paraId="3010B3BF" w14:textId="77777777" w:rsidR="00584ACC" w:rsidRDefault="00584ACC" w:rsidP="00584ACC">
      <w:pPr>
        <w:jc w:val="left"/>
        <w:rPr>
          <w:rFonts w:eastAsia="Times New Roman" w:cs="Times New Roman"/>
          <w:szCs w:val="24"/>
        </w:rPr>
      </w:pPr>
    </w:p>
    <w:p w14:paraId="62F0D9CD" w14:textId="0B44D509" w:rsidR="739E6135" w:rsidRDefault="739E6135" w:rsidP="00F32458">
      <w:pPr>
        <w:rPr>
          <w:rFonts w:eastAsia="Calibri"/>
        </w:rPr>
      </w:pPr>
      <w:r w:rsidRPr="739E6135">
        <w:t>Заједничка пољопривредна политика (ЗПП) Европске уније (ЕУ) се заснива на два стуба: Стуб 1 и Стуб 2.</w:t>
      </w:r>
      <w:r w:rsidR="00F32458">
        <w:rPr>
          <w:rStyle w:val="FootnoteReference"/>
        </w:rPr>
        <w:footnoteReference w:id="3"/>
      </w:r>
    </w:p>
    <w:p w14:paraId="5D163112" w14:textId="6321E788" w:rsidR="739E6135" w:rsidRDefault="739E6135" w:rsidP="00F32458">
      <w:r w:rsidRPr="739E6135">
        <w:t>Стуб 1 ЗПП обухвата мере које се односе на тржиште пољопривредних производа. Његов циљ је осигуравање стабилности тржишта, заштите прихода пољопривредницима и обезбеђивање стабилних цена за пољопривредне производе. Мере Стуба 1 укључују интервенције на тржишту, као што су интревенционе куповине и интревенционе продаје пољопривредних производа, привремена складиштења вишка, увозне и извозне таксе и таксе на увоз и извоз.</w:t>
      </w:r>
    </w:p>
    <w:p w14:paraId="4E3B4D61" w14:textId="77777777" w:rsidR="00E307E3" w:rsidRDefault="00E307E3">
      <w:pPr>
        <w:spacing w:after="200" w:line="276" w:lineRule="auto"/>
        <w:ind w:firstLine="0"/>
        <w:jc w:val="left"/>
      </w:pPr>
      <w:r>
        <w:br w:type="page"/>
      </w:r>
    </w:p>
    <w:p w14:paraId="28181361" w14:textId="6FEF667A" w:rsidR="739E6135" w:rsidRDefault="739E6135" w:rsidP="00F32458">
      <w:r w:rsidRPr="739E6135">
        <w:lastRenderedPageBreak/>
        <w:t>Стуб 2 ЗПП се фокусира на рурални развој и подршку развоју села и руралних подручја. Он обухвата мере које се односе на диверзификацију руралне економије, инфраструктуру, образовање, обучавање, запошљавање, заштиту животне средине и остваривање услова за квалитетан живот на селу. Мере Стуба 2 финансирају се из Европског фонда за гарантовање сеоског развоја (ЕФГСР) и Европског фонда за рурални развој (ЕФРР).</w:t>
      </w:r>
    </w:p>
    <w:p w14:paraId="71BC5887" w14:textId="57B25D62" w:rsidR="739E6135" w:rsidRDefault="739E6135" w:rsidP="00F32458">
      <w:r w:rsidRPr="739E6135">
        <w:t>Финансирање ЗПП и Стуба 1 обезбеђује се кроз Заједнички аграрни фонд. Овај фонд се финансира из доприноса земаља чланица ЕУ. Доприноси се заснивају на принципу продаје, где се свакој земљи чланици додељује одређени део финансијских средстава на основу њене економске величине и аграрних потреба.</w:t>
      </w:r>
    </w:p>
    <w:p w14:paraId="351E5ADA" w14:textId="3DB212A8" w:rsidR="739E6135" w:rsidRPr="00584ACC" w:rsidRDefault="739E6135" w:rsidP="00F32458">
      <w:r w:rsidRPr="739E6135">
        <w:t>Финансирање Стуба 2 ЗПП се осигурава кроз Европски фонд за гарантовање сеоског развоја (ЕФГСР) и Европски фонд за рурални развој (ЕФРР). Земље чланице ЕУ добијају финансијску помоћ из ових фондова за имплементацију мера и програма у области руралног развоја, како би се подржала диверзификација руралне економије, унапредила инфраструктура, образовање и заштита животне средине, и стимулисало стварање квалитетних услова за живот на селу.</w:t>
      </w:r>
      <w:r w:rsidR="00F32458">
        <w:rPr>
          <w:rStyle w:val="FootnoteReference"/>
        </w:rPr>
        <w:footnoteReference w:id="4"/>
      </w:r>
    </w:p>
    <w:p w14:paraId="542C04DA" w14:textId="77777777" w:rsidR="00F32458" w:rsidRDefault="00F32458">
      <w:pPr>
        <w:spacing w:after="200" w:line="276" w:lineRule="auto"/>
        <w:ind w:firstLine="0"/>
        <w:jc w:val="left"/>
        <w:rPr>
          <w:rFonts w:eastAsiaTheme="majorEastAsia" w:cstheme="majorBidi"/>
          <w:b/>
          <w:bCs/>
          <w:caps/>
          <w:color w:val="F0AD00" w:themeColor="accent1"/>
          <w:sz w:val="28"/>
          <w:szCs w:val="28"/>
        </w:rPr>
      </w:pPr>
      <w:r>
        <w:br w:type="page"/>
      </w:r>
    </w:p>
    <w:p w14:paraId="4C342E41" w14:textId="6470BDBE" w:rsidR="739E6135" w:rsidRDefault="739E6135" w:rsidP="00C00D86">
      <w:pPr>
        <w:pStyle w:val="Heading1"/>
        <w:numPr>
          <w:ilvl w:val="0"/>
          <w:numId w:val="2"/>
        </w:numPr>
      </w:pPr>
      <w:bookmarkStart w:id="8" w:name="_Toc136702843"/>
      <w:r w:rsidRPr="739E6135">
        <w:lastRenderedPageBreak/>
        <w:t>Европски зелени дог</w:t>
      </w:r>
      <w:r w:rsidR="00584ACC">
        <w:t>овор и стратегија „Од њиве до трпезе“</w:t>
      </w:r>
      <w:bookmarkEnd w:id="8"/>
    </w:p>
    <w:p w14:paraId="0454DE2A" w14:textId="4D06FEDA" w:rsidR="739E6135" w:rsidRDefault="739E6135" w:rsidP="739E6135">
      <w:pPr>
        <w:ind w:left="349"/>
        <w:jc w:val="center"/>
        <w:rPr>
          <w:rFonts w:eastAsia="Calibri"/>
          <w:szCs w:val="24"/>
        </w:rPr>
      </w:pPr>
    </w:p>
    <w:p w14:paraId="6BE54284" w14:textId="0A160A65" w:rsidR="739E6135" w:rsidRDefault="739E6135" w:rsidP="00F32458">
      <w:r w:rsidRPr="739E6135">
        <w:t>Европс</w:t>
      </w:r>
      <w:r w:rsidR="00F32458">
        <w:t>ки зелени договор и стратегија „Од њиве до трпезе“</w:t>
      </w:r>
      <w:r w:rsidRPr="739E6135">
        <w:t xml:space="preserve"> представљају амбициозне и интегралне иницијативе Европске уније (ЕУ) у области заштите животне средине, одрживе пољопривреде и здраве и безбедне исхране.</w:t>
      </w:r>
      <w:r w:rsidR="00F32458">
        <w:rPr>
          <w:rStyle w:val="FootnoteReference"/>
        </w:rPr>
        <w:footnoteReference w:id="5"/>
      </w:r>
    </w:p>
    <w:p w14:paraId="70DB7737" w14:textId="43B04CA1" w:rsidR="739E6135" w:rsidRDefault="739E6135" w:rsidP="00F32458">
      <w:r w:rsidRPr="739E6135">
        <w:t>Европски зелени договор (</w:t>
      </w:r>
      <w:r w:rsidRPr="739E6135">
        <w:rPr>
          <w:i/>
          <w:iCs/>
        </w:rPr>
        <w:t>European Green Deal)</w:t>
      </w:r>
      <w:r w:rsidRPr="739E6135">
        <w:t xml:space="preserve"> је стратешки план ЕУ који има за циљ да постигне климатску нулу и транзицију ка одрживој, ресурси ефикасној и зеленој економији. Он обухвата широк спектар иницијатива и мера у областима као што су смањење емисија гасова са ефектом стакленика, употреба обновљивих извора енергије, енергетска ефикасност, одржива мобилност, заштита биодиверзитета и одрживо коришћење ресурса. Циљ је да ЕУ постане први континент који ће постићи климатску нулу до 2050. године.</w:t>
      </w:r>
    </w:p>
    <w:p w14:paraId="47F142BC" w14:textId="28DE5F72" w:rsidR="739E6135" w:rsidRDefault="00F32458" w:rsidP="00F32458">
      <w:r>
        <w:t>Стратегија „Од њиве до трпезе“</w:t>
      </w:r>
      <w:r w:rsidR="739E6135" w:rsidRPr="739E6135">
        <w:t xml:space="preserve"> (</w:t>
      </w:r>
      <w:r w:rsidR="739E6135" w:rsidRPr="739E6135">
        <w:rPr>
          <w:i/>
          <w:iCs/>
        </w:rPr>
        <w:t>Farm to Fork Strategy</w:t>
      </w:r>
      <w:r w:rsidR="739E6135" w:rsidRPr="739E6135">
        <w:t>) је саставни део Европског зеленог договора и фокусира се на област пољопривреде и система исхране. Њен циљ је промовисање одрживих и здравих система производње и потрошње хране, смањење емисија у пољопривреди, заштиту биодиверзитета и стварање отпорних и сигурних система исхране. Ова стратегија обухвата мере као што су промоција органске пољопривреде, смањење употребе пестицида и антибиотика у пољопривреди, подршка малим и</w:t>
      </w:r>
      <w:r>
        <w:t xml:space="preserve"> средњим пољопривредним повећа</w:t>
      </w:r>
      <w:r w:rsidR="739E6135" w:rsidRPr="739E6135">
        <w:t>њима понуде здравих и одрживих храна на тржишту.</w:t>
      </w:r>
      <w:r>
        <w:rPr>
          <w:rStyle w:val="FootnoteReference"/>
        </w:rPr>
        <w:footnoteReference w:id="6"/>
      </w:r>
    </w:p>
    <w:p w14:paraId="64FF81D2" w14:textId="00A22CE2" w:rsidR="739E6135" w:rsidRPr="00584ACC" w:rsidRDefault="739E6135" w:rsidP="00F32458">
      <w:r w:rsidRPr="739E6135">
        <w:t>Ова два стратешка плана иницијативе Европске уније представљају целовит приступ усмерен ка промоцији одрживости, заштити животне средине и пружању здраве и одрживе исхране за све грађане ЕУ. Кроз ове стратегије, ЕУ има за циљ да превазиђе изазове у областима климатских промена, биодиверзитета, одрживе пољопривреде и система исхране, и да промовише одрживу будућност за своје грађане и планету.</w:t>
      </w:r>
    </w:p>
    <w:p w14:paraId="15D0ACC1" w14:textId="3C71D826" w:rsidR="739E6135" w:rsidRDefault="739E6135" w:rsidP="00C00D86">
      <w:pPr>
        <w:pStyle w:val="Heading2"/>
        <w:numPr>
          <w:ilvl w:val="1"/>
          <w:numId w:val="2"/>
        </w:numPr>
        <w:rPr>
          <w:rFonts w:eastAsia="Times New Roman"/>
        </w:rPr>
      </w:pPr>
      <w:bookmarkStart w:id="9" w:name="_Toc136702844"/>
      <w:r w:rsidRPr="739E6135">
        <w:rPr>
          <w:rFonts w:eastAsia="Times New Roman"/>
        </w:rPr>
        <w:lastRenderedPageBreak/>
        <w:t>Предности</w:t>
      </w:r>
      <w:bookmarkEnd w:id="9"/>
    </w:p>
    <w:p w14:paraId="6DAC4049" w14:textId="1F5D95CD" w:rsidR="739E6135" w:rsidRDefault="739E6135" w:rsidP="00F32458">
      <w:r w:rsidRPr="739E6135">
        <w:t>Европс</w:t>
      </w:r>
      <w:r w:rsidR="00F32458">
        <w:t>ки зелени договор и стратегија „Од њиве до трепезе“</w:t>
      </w:r>
      <w:r w:rsidRPr="739E6135">
        <w:t xml:space="preserve"> нуде бројне предности за Европску унију и њене грађане. Неке од предности ових иницијатива укључују</w:t>
      </w:r>
      <w:r w:rsidR="00F32458">
        <w:rPr>
          <w:rStyle w:val="FootnoteReference"/>
        </w:rPr>
        <w:footnoteReference w:id="7"/>
      </w:r>
      <w:r w:rsidRPr="739E6135">
        <w:t>:</w:t>
      </w:r>
    </w:p>
    <w:p w14:paraId="3E71CA88" w14:textId="520DED4C" w:rsidR="739E6135" w:rsidRPr="00F32458" w:rsidRDefault="00F32458" w:rsidP="00C00D86">
      <w:pPr>
        <w:pStyle w:val="ListParagraph"/>
        <w:numPr>
          <w:ilvl w:val="0"/>
          <w:numId w:val="5"/>
        </w:numPr>
        <w:rPr>
          <w:rFonts w:eastAsia="Calibri"/>
        </w:rPr>
      </w:pPr>
      <w:r>
        <w:t>Заштита животне средине –</w:t>
      </w:r>
      <w:r w:rsidR="739E6135" w:rsidRPr="739E6135">
        <w:t xml:space="preserve"> Ове стратегије имају за циљ смањење емисија гасова са ефектом стакленика, заштиту биодиверзитета и одрживо коришћење природних ресурса. Промоција одрживих начина производње и потрошње хране, као и употреба обновљивих извора енергије, доприноси заштити животне средине и смањује негативан утицај на климатске промене.</w:t>
      </w:r>
    </w:p>
    <w:p w14:paraId="12715FB6" w14:textId="3362984F" w:rsidR="739E6135" w:rsidRPr="00F32458" w:rsidRDefault="739E6135" w:rsidP="00C00D86">
      <w:pPr>
        <w:pStyle w:val="ListParagraph"/>
        <w:numPr>
          <w:ilvl w:val="0"/>
          <w:numId w:val="5"/>
        </w:numPr>
        <w:rPr>
          <w:rFonts w:eastAsia="Calibri"/>
        </w:rPr>
      </w:pPr>
      <w:r w:rsidRPr="739E6135">
        <w:t>Од</w:t>
      </w:r>
      <w:r w:rsidR="00F32458">
        <w:t>ржива пољопривреда – Стратегија „Од њиве до трпезе“</w:t>
      </w:r>
      <w:r w:rsidRPr="739E6135">
        <w:t xml:space="preserve"> подстиче одрживу пољопривреду, укључујући промоцију органске пољопривреде, смањење употребе пестицида и антибиотика, и подршку малим и средњим пољопривредним предузећима. Ово доприноси бољој заштити здравља људи, биодиверзитету и одрживом коришћењу земљишта.</w:t>
      </w:r>
    </w:p>
    <w:p w14:paraId="3507927C" w14:textId="28A86EF6" w:rsidR="739E6135" w:rsidRPr="00F32458" w:rsidRDefault="00F32458" w:rsidP="00C00D86">
      <w:pPr>
        <w:pStyle w:val="ListParagraph"/>
        <w:numPr>
          <w:ilvl w:val="0"/>
          <w:numId w:val="5"/>
        </w:numPr>
        <w:rPr>
          <w:rFonts w:eastAsia="Calibri"/>
        </w:rPr>
      </w:pPr>
      <w:r>
        <w:t>Здрава и безбедна исхрана –</w:t>
      </w:r>
      <w:r w:rsidR="739E6135" w:rsidRPr="739E6135">
        <w:t xml:space="preserve"> Ове стратегије имају за циљ осигурање квалитетне, здраве и безбедне исхране за све грађане. Промовисање здравих и одрживих система производње и потрошње хране води до снижења употребе штетних супстанци у храни и повећања доступности здравих и нутритивно богатих храна.</w:t>
      </w:r>
    </w:p>
    <w:p w14:paraId="5200F4DF" w14:textId="73A3341A" w:rsidR="739E6135" w:rsidRPr="00F32458" w:rsidRDefault="739E6135" w:rsidP="00C00D86">
      <w:pPr>
        <w:pStyle w:val="ListParagraph"/>
        <w:numPr>
          <w:ilvl w:val="0"/>
          <w:numId w:val="5"/>
        </w:numPr>
        <w:rPr>
          <w:rFonts w:eastAsia="Calibri"/>
        </w:rPr>
      </w:pPr>
      <w:r w:rsidRPr="739E6135">
        <w:t>Економски развој и</w:t>
      </w:r>
      <w:r w:rsidR="00F32458">
        <w:t xml:space="preserve"> иновације –</w:t>
      </w:r>
      <w:r w:rsidRPr="739E6135">
        <w:t xml:space="preserve"> Ове иницијативе стварају нове могућности за економски развој и иновације. Промовисање зелених технологија и одрживих решења у областима енергије, пољопривреде и система исхране ствара нове пословне моделе и отвара радна места. Ово доприноси стимулисању иновација, конкурентности и економском расту у Европској унији.</w:t>
      </w:r>
    </w:p>
    <w:p w14:paraId="3B35C166" w14:textId="672B953C" w:rsidR="739E6135" w:rsidRPr="00F32458" w:rsidRDefault="00F32458" w:rsidP="00C00D86">
      <w:pPr>
        <w:pStyle w:val="ListParagraph"/>
        <w:numPr>
          <w:ilvl w:val="0"/>
          <w:numId w:val="5"/>
        </w:numPr>
        <w:rPr>
          <w:rFonts w:eastAsia="Calibri"/>
        </w:rPr>
      </w:pPr>
      <w:r>
        <w:t>Потрошачи и образовање – Зелени договор и стратегија „Од њиве до трпезе“</w:t>
      </w:r>
      <w:r w:rsidR="739E6135" w:rsidRPr="739E6135">
        <w:t xml:space="preserve"> промовишу свесну потрошњу и потрошаче информишу о одрживим начинима живота и исхране. Путем образовања и </w:t>
      </w:r>
      <w:r w:rsidR="739E6135" w:rsidRPr="739E6135">
        <w:lastRenderedPageBreak/>
        <w:t>свесности, грађани се подстицају да допринесу заштити животне средине и промовишу одрживе обрасце потрошње.</w:t>
      </w:r>
    </w:p>
    <w:p w14:paraId="649C5276" w14:textId="5334E28C" w:rsidR="739E6135" w:rsidRDefault="739E6135" w:rsidP="00F32458">
      <w:pPr>
        <w:rPr>
          <w:rFonts w:eastAsia="Calibri"/>
          <w:szCs w:val="24"/>
        </w:rPr>
      </w:pPr>
      <w:r w:rsidRPr="739E6135">
        <w:t>Укупно, Европс</w:t>
      </w:r>
      <w:r w:rsidR="00F32458">
        <w:t>ки зелени договор и стратегија „Од њиве до трпезе“</w:t>
      </w:r>
      <w:r w:rsidRPr="739E6135">
        <w:t xml:space="preserve"> имају за циљ да омогуће приход ка одрживој, зеленој и отпорној Европи, у којој је заштићена животна средина, обезбеђена здрава и безбедна исхрана, подржана одржива пољопривреда и промовисане иновације и економски развој.</w:t>
      </w:r>
    </w:p>
    <w:p w14:paraId="5C70C8B1" w14:textId="767E0A9C" w:rsidR="739E6135" w:rsidRDefault="739E6135" w:rsidP="00C00D86">
      <w:pPr>
        <w:pStyle w:val="Heading2"/>
        <w:numPr>
          <w:ilvl w:val="1"/>
          <w:numId w:val="2"/>
        </w:numPr>
        <w:rPr>
          <w:rFonts w:eastAsia="Calibri"/>
        </w:rPr>
      </w:pPr>
      <w:bookmarkStart w:id="10" w:name="_Toc136702845"/>
      <w:r w:rsidRPr="739E6135">
        <w:rPr>
          <w:rFonts w:eastAsia="Times New Roman"/>
        </w:rPr>
        <w:t>Недостаци</w:t>
      </w:r>
      <w:bookmarkEnd w:id="10"/>
    </w:p>
    <w:p w14:paraId="5C69F696" w14:textId="77777777" w:rsidR="00584ACC" w:rsidRDefault="00584ACC" w:rsidP="739E6135">
      <w:pPr>
        <w:jc w:val="left"/>
        <w:rPr>
          <w:rFonts w:eastAsia="Times New Roman" w:cs="Times New Roman"/>
          <w:szCs w:val="24"/>
        </w:rPr>
      </w:pPr>
    </w:p>
    <w:p w14:paraId="076E7D03" w14:textId="332C24F0" w:rsidR="739E6135" w:rsidRDefault="739E6135" w:rsidP="00F32458">
      <w:r w:rsidRPr="739E6135">
        <w:t>Иако Европс</w:t>
      </w:r>
      <w:r w:rsidR="00F32458">
        <w:t>ки зелени договор и стратегија „Од њиве до трпезе“</w:t>
      </w:r>
      <w:r w:rsidRPr="739E6135">
        <w:t xml:space="preserve"> представљају значајан напредак у промоцији одрживости и заштити животне средине, постоје и неки недостаци који се могу поставити у вези са овим иницијативама</w:t>
      </w:r>
      <w:r w:rsidR="00F32458">
        <w:rPr>
          <w:rStyle w:val="FootnoteReference"/>
        </w:rPr>
        <w:footnoteReference w:id="8"/>
      </w:r>
      <w:r w:rsidRPr="739E6135">
        <w:t>:</w:t>
      </w:r>
    </w:p>
    <w:p w14:paraId="0364BF04" w14:textId="173BFE42" w:rsidR="739E6135" w:rsidRPr="00F32458" w:rsidRDefault="00F32458" w:rsidP="00C00D86">
      <w:pPr>
        <w:pStyle w:val="ListParagraph"/>
        <w:numPr>
          <w:ilvl w:val="0"/>
          <w:numId w:val="6"/>
        </w:numPr>
      </w:pPr>
      <w:r>
        <w:t>Финансијска средства –</w:t>
      </w:r>
      <w:r w:rsidR="739E6135" w:rsidRPr="739E6135">
        <w:t xml:space="preserve"> Имплементација зеленог договора и стратегије "Од њиве до трпезе" изискује значајна финансијска средства. Потребно је осигурати довољно ресурса за инвестиције у нове технологије, инфраструктуру и обуку, што може представљати изазов за неке земље чланице и секторе.</w:t>
      </w:r>
    </w:p>
    <w:p w14:paraId="2EEB202E" w14:textId="03FBAE47" w:rsidR="739E6135" w:rsidRPr="00F32458" w:rsidRDefault="739E6135" w:rsidP="00C00D86">
      <w:pPr>
        <w:pStyle w:val="ListParagraph"/>
        <w:numPr>
          <w:ilvl w:val="0"/>
          <w:numId w:val="6"/>
        </w:numPr>
      </w:pPr>
      <w:r w:rsidRPr="739E6135">
        <w:t>Промене у пољопривреди</w:t>
      </w:r>
      <w:r w:rsidR="00F32458">
        <w:t xml:space="preserve"> –</w:t>
      </w:r>
      <w:r w:rsidRPr="739E6135">
        <w:t xml:space="preserve"> Успостављање одрживих пракси у пољопривреди може захтевати време и улагање. Прелазак на органску пољопривреду и смањење употребе пестицида и антибиотика може бити изазован за пољопривредни сектор, посебно за мала и средња пољопривредна предузећа.</w:t>
      </w:r>
    </w:p>
    <w:p w14:paraId="167A15F8" w14:textId="01A567CE" w:rsidR="739E6135" w:rsidRPr="00F32458" w:rsidRDefault="739E6135" w:rsidP="00C00D86">
      <w:pPr>
        <w:pStyle w:val="ListParagraph"/>
        <w:numPr>
          <w:ilvl w:val="0"/>
          <w:numId w:val="6"/>
        </w:numPr>
      </w:pPr>
      <w:r w:rsidRPr="739E6135">
        <w:t>Равномерна примена</w:t>
      </w:r>
      <w:r w:rsidR="00F32458">
        <w:t xml:space="preserve"> –</w:t>
      </w:r>
      <w:r w:rsidRPr="739E6135">
        <w:t xml:space="preserve"> Осигуравање равномерне примене</w:t>
      </w:r>
      <w:r w:rsidR="00F32458">
        <w:t xml:space="preserve"> зеленог договора и стратегије „</w:t>
      </w:r>
      <w:r w:rsidRPr="739E6135">
        <w:t>Од њиве до т</w:t>
      </w:r>
      <w:r w:rsidR="00F32458">
        <w:t>рпезе“</w:t>
      </w:r>
      <w:r w:rsidRPr="739E6135">
        <w:t xml:space="preserve"> међу свим земљама чланицама може представљати изазов. Различите пољопривредне и климатске услове, како и националне преференције и интересе, треба узети у обзир при примени мера.</w:t>
      </w:r>
    </w:p>
    <w:p w14:paraId="6E0CFE18" w14:textId="6A09B21D" w:rsidR="739E6135" w:rsidRPr="00F32458" w:rsidRDefault="00F32458" w:rsidP="00C00D86">
      <w:pPr>
        <w:pStyle w:val="ListParagraph"/>
        <w:numPr>
          <w:ilvl w:val="0"/>
          <w:numId w:val="6"/>
        </w:numPr>
      </w:pPr>
      <w:r>
        <w:t>Постизање баланса –</w:t>
      </w:r>
      <w:r w:rsidR="739E6135" w:rsidRPr="739E6135">
        <w:t xml:space="preserve"> Постизање баланса између заштите животне средине и одрживости са економским и социјалним аспектима може бити изазовно. Потребно је осигурати да промене у пољопривреди и систему исхране не доведу до негативних ефеката по земљораднике и </w:t>
      </w:r>
      <w:r w:rsidR="739E6135" w:rsidRPr="739E6135">
        <w:lastRenderedPageBreak/>
        <w:t>потрошаче, и да се осигура праведан приступ који укључује све заинтересо</w:t>
      </w:r>
      <w:r>
        <w:t>ване стеј</w:t>
      </w:r>
      <w:r w:rsidR="739E6135" w:rsidRPr="739E6135">
        <w:t>кхолдере и усмерен је на постизање правилности и инклузивности.</w:t>
      </w:r>
    </w:p>
    <w:p w14:paraId="13DF75CA" w14:textId="4B6232F8" w:rsidR="739E6135" w:rsidRPr="00F32458" w:rsidRDefault="00F32458" w:rsidP="00C00D86">
      <w:pPr>
        <w:pStyle w:val="ListParagraph"/>
        <w:numPr>
          <w:ilvl w:val="0"/>
          <w:numId w:val="6"/>
        </w:numPr>
      </w:pPr>
      <w:r>
        <w:t>Глобална сарадња –</w:t>
      </w:r>
      <w:r w:rsidR="739E6135" w:rsidRPr="739E6135">
        <w:t xml:space="preserve"> Имплементација</w:t>
      </w:r>
      <w:r>
        <w:t xml:space="preserve"> зеленог договора и стратегије „Од њиве до трпезе“</w:t>
      </w:r>
      <w:r w:rsidR="739E6135" w:rsidRPr="739E6135">
        <w:t xml:space="preserve"> захтева снажну глобалну сарадњу и усклађивање са другим земљама и регионима. Заштита животне средине и борба против климатских промена захтевају активну улогу и сарадњу свих држава и актера.</w:t>
      </w:r>
    </w:p>
    <w:p w14:paraId="4078F162" w14:textId="637A6900" w:rsidR="739E6135" w:rsidRPr="00F32458" w:rsidRDefault="00F32458" w:rsidP="00C00D86">
      <w:pPr>
        <w:pStyle w:val="ListParagraph"/>
        <w:numPr>
          <w:ilvl w:val="0"/>
          <w:numId w:val="6"/>
        </w:numPr>
      </w:pPr>
      <w:r>
        <w:t>Прелазни период –</w:t>
      </w:r>
      <w:r w:rsidR="739E6135" w:rsidRPr="739E6135">
        <w:t xml:space="preserve"> Промена ка одрживим праксама и зеленој инфраструктури захтева временски период за прилагођавање. Прелазни период може бити изазован за одређене секторе, посебно уколико треба променити постојећу инфраструктуру и пословне моделе.</w:t>
      </w:r>
    </w:p>
    <w:p w14:paraId="48F656D8" w14:textId="5169BD2F" w:rsidR="739E6135" w:rsidRPr="00F32458" w:rsidRDefault="00F32458" w:rsidP="00C00D86">
      <w:pPr>
        <w:pStyle w:val="ListParagraph"/>
        <w:numPr>
          <w:ilvl w:val="0"/>
          <w:numId w:val="6"/>
        </w:numPr>
      </w:pPr>
      <w:r>
        <w:t>Потреба за иновацијама –</w:t>
      </w:r>
      <w:r w:rsidR="739E6135" w:rsidRPr="739E6135">
        <w:t xml:space="preserve"> Успешна имплементација</w:t>
      </w:r>
      <w:r>
        <w:t xml:space="preserve"> зеленог договора и стратегије „Од њиве до трпезе“</w:t>
      </w:r>
      <w:r w:rsidR="739E6135" w:rsidRPr="739E6135">
        <w:t xml:space="preserve"> захтева постојану иновацију и развој нових технологија. Ово може представљати изазов у смислу финансирања и налаже потребу за истраживањем и развојем нових решења.</w:t>
      </w:r>
    </w:p>
    <w:p w14:paraId="4F581D20" w14:textId="2518D1A8" w:rsidR="739E6135" w:rsidRDefault="739E6135" w:rsidP="00F32458">
      <w:pPr>
        <w:rPr>
          <w:rFonts w:eastAsia="Calibri"/>
          <w:szCs w:val="24"/>
        </w:rPr>
      </w:pPr>
      <w:r w:rsidRPr="739E6135">
        <w:t>Укључивање свих заинтересованих предузећа, снажна глобална сарадња и решавање изазова и недостатака су кључни аспекти за успех</w:t>
      </w:r>
      <w:r w:rsidR="00F32458">
        <w:t xml:space="preserve"> зеленог договора и стратегије „</w:t>
      </w:r>
      <w:r w:rsidRPr="739E6135">
        <w:t>Од њиве до тр</w:t>
      </w:r>
      <w:r w:rsidR="00F32458">
        <w:t>пезе“</w:t>
      </w:r>
      <w:r w:rsidRPr="739E6135">
        <w:t xml:space="preserve"> у постизању својих циљева.</w:t>
      </w:r>
    </w:p>
    <w:p w14:paraId="4A4B1F43" w14:textId="77777777" w:rsidR="00584ACC" w:rsidRDefault="00584ACC">
      <w:pPr>
        <w:spacing w:after="200" w:line="276" w:lineRule="auto"/>
        <w:ind w:firstLine="0"/>
        <w:jc w:val="left"/>
        <w:rPr>
          <w:rFonts w:eastAsia="Calibri" w:cstheme="majorBidi"/>
          <w:b/>
          <w:bCs/>
          <w:caps/>
          <w:color w:val="F0AD00" w:themeColor="accent1"/>
          <w:sz w:val="28"/>
          <w:szCs w:val="28"/>
        </w:rPr>
      </w:pPr>
      <w:r>
        <w:rPr>
          <w:rFonts w:eastAsia="Calibri"/>
        </w:rPr>
        <w:br w:type="page"/>
      </w:r>
    </w:p>
    <w:p w14:paraId="23DA3ECA" w14:textId="2681529D" w:rsidR="739E6135" w:rsidRDefault="739E6135" w:rsidP="00C00D86">
      <w:pPr>
        <w:pStyle w:val="Heading1"/>
        <w:numPr>
          <w:ilvl w:val="0"/>
          <w:numId w:val="2"/>
        </w:numPr>
        <w:rPr>
          <w:rFonts w:eastAsia="Calibri"/>
        </w:rPr>
      </w:pPr>
      <w:bookmarkStart w:id="11" w:name="_Toc136702846"/>
      <w:r w:rsidRPr="739E6135">
        <w:rPr>
          <w:rFonts w:eastAsia="Calibri"/>
        </w:rPr>
        <w:lastRenderedPageBreak/>
        <w:t>Основне карактеристике нове заједничке аграрне политике ЕУ (2023.-2027.)</w:t>
      </w:r>
      <w:bookmarkEnd w:id="11"/>
    </w:p>
    <w:p w14:paraId="0937388E" w14:textId="77777777" w:rsidR="00584ACC" w:rsidRDefault="00584ACC" w:rsidP="739E6135">
      <w:pPr>
        <w:jc w:val="left"/>
        <w:rPr>
          <w:rFonts w:eastAsia="Times New Roman" w:cs="Times New Roman"/>
          <w:szCs w:val="24"/>
        </w:rPr>
      </w:pPr>
    </w:p>
    <w:p w14:paraId="179DE8FD" w14:textId="418BF213" w:rsidR="739E6135" w:rsidRDefault="739E6135" w:rsidP="00F32458">
      <w:r w:rsidRPr="739E6135">
        <w:t>Информације о конкретним детаљима и карактеристикама нове Заједничке аграрне политике (ЗАП) Европске уније (ЕУ) за период 2023-2027. нису доступне у моменту мог тренинга (септембар 2021.) и моја база знања је ажурирана до тог датума.</w:t>
      </w:r>
      <w:r w:rsidR="00F32458">
        <w:rPr>
          <w:rStyle w:val="FootnoteReference"/>
        </w:rPr>
        <w:footnoteReference w:id="9"/>
      </w:r>
    </w:p>
    <w:p w14:paraId="6BBB3869" w14:textId="10E6C543" w:rsidR="739E6135" w:rsidRDefault="739E6135" w:rsidP="00F32458">
      <w:r w:rsidRPr="739E6135">
        <w:t>Заједничка аграрна политика ЕУ се пререформисала током година и применом нових вишегодишњих финансијских оквира. Нови финансијски оквир за период 2021-2027. би требало да пружи основу за постепено смањење пољопривредних субвенција и пренос већег дела финансирања у стуб 2 ЗАП, који се односи на рурални развој и заштиту животне средине.</w:t>
      </w:r>
    </w:p>
    <w:p w14:paraId="21F41407" w14:textId="62ECE05E" w:rsidR="739E6135" w:rsidRDefault="739E6135" w:rsidP="00F32458">
      <w:r w:rsidRPr="739E6135">
        <w:t xml:space="preserve">У светлу климатских промена и жеље за прелазом ка одрживој исхрани и пољопривреди, нова ЗАП може обухватити мере које су усмерене на промовисање одрживих пољопривредних пракси, употребу обновљивих извора енергије, смањење емисија гасова са ефектом стакленика, </w:t>
      </w:r>
      <w:r w:rsidR="00F32458">
        <w:t>биодиверзитет и привр</w:t>
      </w:r>
      <w:r w:rsidRPr="739E6135">
        <w:t>женост руралних подручја. Детаљи и конкретне мере нове ЗАП би требало да буду одређене на основу законодавства и политичких договора унутар ЕУ.</w:t>
      </w:r>
    </w:p>
    <w:p w14:paraId="6A231260" w14:textId="4E6064EF" w:rsidR="739E6135" w:rsidRDefault="739E6135" w:rsidP="00F32458">
      <w:r w:rsidRPr="739E6135">
        <w:t>Свака европска земља има своје специфичности у вези са пољопривредом и руралним развојем, што се одразило и на претходне реформе Заједничке аграрне политике. Нова ЗАП за период 2023-2027. има за циљ да омогући флексибилнији приступ и боље прилагођавање различитим потребама и условима земаља чланица. Уз фокус на одрживост, нова ЗАП може обухватити истраживање и иновације у пољопривреди, како би се подржале научно-технолошке напредне и примениле најбоље праксе у области пољопривреде и заштите животне средине. Такође, фокус ће бити стављен на економску ревитализацију руралних подручја, креирање нових пословних могућности и радних места, укључујући развој села, туризам и рурални привредни раст.</w:t>
      </w:r>
      <w:r w:rsidR="00F32458">
        <w:rPr>
          <w:rStyle w:val="FootnoteReference"/>
        </w:rPr>
        <w:footnoteReference w:id="10"/>
      </w:r>
    </w:p>
    <w:p w14:paraId="55E525AA" w14:textId="77777777" w:rsidR="00F32458" w:rsidRDefault="00F32458">
      <w:pPr>
        <w:spacing w:after="200" w:line="276" w:lineRule="auto"/>
        <w:ind w:firstLine="0"/>
        <w:jc w:val="left"/>
      </w:pPr>
      <w:r>
        <w:br w:type="page"/>
      </w:r>
    </w:p>
    <w:p w14:paraId="7375F51A" w14:textId="58ADAF71" w:rsidR="739E6135" w:rsidRDefault="739E6135" w:rsidP="00F32458">
      <w:r w:rsidRPr="739E6135">
        <w:lastRenderedPageBreak/>
        <w:t>Важно је нагласити да је ЗАП комплексан и динамичан процес који захтева константну промену и усаглашавање са новим изазовима, научним открићима и променама у друштву. Нова ЗАП ће се трансформисати и еволуирати у складу са потребама и циљевима Е</w:t>
      </w:r>
      <w:r w:rsidR="00F32458">
        <w:t xml:space="preserve">У у наредним годинама. </w:t>
      </w:r>
      <w:r w:rsidRPr="739E6135">
        <w:t>Важно је да се ЗАП види као инструмент који промовише одрживу пољопривреду, заштиту животне средине, економски раст и социјалну правду, истовремено пружајући потрошачима безбедну исхрану и подршку руралним заједницама.</w:t>
      </w:r>
    </w:p>
    <w:p w14:paraId="20EC474C" w14:textId="17CA0C59" w:rsidR="739E6135" w:rsidRDefault="739E6135" w:rsidP="739E6135">
      <w:pPr>
        <w:jc w:val="left"/>
      </w:pPr>
      <w:r>
        <w:rPr>
          <w:noProof/>
          <w:lang w:val="en-US"/>
        </w:rPr>
        <w:drawing>
          <wp:inline distT="0" distB="0" distL="0" distR="0" wp14:anchorId="6A81DFE4" wp14:editId="53B58323">
            <wp:extent cx="4572000" cy="2686050"/>
            <wp:effectExtent l="171450" t="171450" r="381000" b="361950"/>
            <wp:docPr id="799695660" name="Slika 799695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572000" cy="2686050"/>
                    </a:xfrm>
                    <a:prstGeom prst="rect">
                      <a:avLst/>
                    </a:prstGeom>
                    <a:ln>
                      <a:noFill/>
                    </a:ln>
                    <a:effectLst>
                      <a:outerShdw blurRad="292100" dist="139700" dir="2700000" algn="tl" rotWithShape="0">
                        <a:srgbClr val="333333">
                          <a:alpha val="65000"/>
                        </a:srgbClr>
                      </a:outerShdw>
                    </a:effectLst>
                  </pic:spPr>
                </pic:pic>
              </a:graphicData>
            </a:graphic>
          </wp:inline>
        </w:drawing>
      </w:r>
    </w:p>
    <w:p w14:paraId="69DCAB80" w14:textId="0EDF1781" w:rsidR="739E6135" w:rsidRDefault="00F32458" w:rsidP="00F32458">
      <w:pPr>
        <w:pStyle w:val="Subtitle"/>
      </w:pPr>
      <w:r>
        <w:rPr>
          <w:rFonts w:eastAsia="Times New Roman"/>
        </w:rPr>
        <w:t xml:space="preserve">Слика 1. </w:t>
      </w:r>
      <w:r w:rsidR="739E6135" w:rsidRPr="739E6135">
        <w:rPr>
          <w:rFonts w:eastAsia="Times New Roman"/>
        </w:rPr>
        <w:t>Специфични циљеви Заједничке аграрне политике ЕУ</w:t>
      </w:r>
      <w:sdt>
        <w:sdtPr>
          <w:rPr>
            <w:rFonts w:eastAsia="Times New Roman"/>
          </w:rPr>
          <w:id w:val="625203228"/>
          <w:citation/>
        </w:sdtPr>
        <w:sdtEndPr/>
        <w:sdtContent>
          <w:r>
            <w:rPr>
              <w:rFonts w:eastAsia="Times New Roman"/>
            </w:rPr>
            <w:fldChar w:fldCharType="begin"/>
          </w:r>
          <w:r>
            <w:rPr>
              <w:rFonts w:eastAsia="Times New Roman"/>
            </w:rPr>
            <w:instrText xml:space="preserve"> CITATION Јов222 \l 10266 </w:instrText>
          </w:r>
          <w:r>
            <w:rPr>
              <w:rFonts w:eastAsia="Times New Roman"/>
            </w:rPr>
            <w:fldChar w:fldCharType="separate"/>
          </w:r>
          <w:r w:rsidR="0097315C">
            <w:rPr>
              <w:rFonts w:eastAsia="Times New Roman"/>
              <w:noProof/>
            </w:rPr>
            <w:t xml:space="preserve"> </w:t>
          </w:r>
          <w:r w:rsidR="0097315C" w:rsidRPr="0097315C">
            <w:rPr>
              <w:rFonts w:eastAsia="Times New Roman"/>
              <w:noProof/>
            </w:rPr>
            <w:t>(Јовић, Ђокић, &amp; Зекић, 2022)</w:t>
          </w:r>
          <w:r>
            <w:rPr>
              <w:rFonts w:eastAsia="Times New Roman"/>
            </w:rPr>
            <w:fldChar w:fldCharType="end"/>
          </w:r>
        </w:sdtContent>
      </w:sdt>
    </w:p>
    <w:p w14:paraId="6A81E36E" w14:textId="3EFB1918" w:rsidR="739E6135" w:rsidRDefault="739E6135" w:rsidP="00C00D86">
      <w:pPr>
        <w:pStyle w:val="Heading2"/>
        <w:numPr>
          <w:ilvl w:val="1"/>
          <w:numId w:val="2"/>
        </w:numPr>
        <w:rPr>
          <w:rFonts w:eastAsia="Times New Roman"/>
        </w:rPr>
      </w:pPr>
      <w:bookmarkStart w:id="12" w:name="_Toc136702847"/>
      <w:r w:rsidRPr="739E6135">
        <w:rPr>
          <w:rFonts w:eastAsia="Times New Roman"/>
        </w:rPr>
        <w:t>Импликације на аграрни сектор Европске уније (ЕУ)</w:t>
      </w:r>
      <w:bookmarkEnd w:id="12"/>
    </w:p>
    <w:p w14:paraId="2F78355D" w14:textId="77777777" w:rsidR="00A76EB0" w:rsidRDefault="00A76EB0" w:rsidP="00F32458"/>
    <w:p w14:paraId="0244A131" w14:textId="77A924AD" w:rsidR="739E6135" w:rsidRDefault="739E6135" w:rsidP="00F32458">
      <w:r w:rsidRPr="739E6135">
        <w:t>Импликације на аграрни сектор Европске уније (ЕУ) укључују низ промена и изазова који се односе на пољопривреду, рурални развој и животну средину. Европс</w:t>
      </w:r>
      <w:r w:rsidR="00F32458">
        <w:t>ки зелени договор и стратегија „Од њиве до трпезе“</w:t>
      </w:r>
      <w:r w:rsidRPr="739E6135">
        <w:t xml:space="preserve"> имају значајан утицај на аграрни сектор и донесу импликације у следећим аспектима</w:t>
      </w:r>
      <w:r w:rsidR="00F32458">
        <w:rPr>
          <w:rStyle w:val="FootnoteReference"/>
        </w:rPr>
        <w:footnoteReference w:id="11"/>
      </w:r>
      <w:r w:rsidRPr="739E6135">
        <w:t>:</w:t>
      </w:r>
    </w:p>
    <w:p w14:paraId="0F15B300" w14:textId="2061FE77" w:rsidR="739E6135" w:rsidRPr="00F32458" w:rsidRDefault="00F32458" w:rsidP="00C00D86">
      <w:pPr>
        <w:pStyle w:val="ListParagraph"/>
        <w:numPr>
          <w:ilvl w:val="0"/>
          <w:numId w:val="7"/>
        </w:numPr>
      </w:pPr>
      <w:r>
        <w:t>Промена пољопривредних пракси –</w:t>
      </w:r>
      <w:r w:rsidR="739E6135" w:rsidRPr="739E6135">
        <w:t xml:space="preserve"> Захтеви за одрживом пољопривредом и борба против климатских промена ће захтевати промену пољопривредних пракси. Пољопривредници ће морати да </w:t>
      </w:r>
      <w:r w:rsidR="739E6135" w:rsidRPr="739E6135">
        <w:lastRenderedPageBreak/>
        <w:t>усмере своје активности ка смањењу емисија гасова са ефектом стакленика, заштити биодиверзитета и употреби енергије из обновљивих извора.</w:t>
      </w:r>
    </w:p>
    <w:p w14:paraId="51A881A1" w14:textId="7B5A8AA5" w:rsidR="739E6135" w:rsidRPr="00F32458" w:rsidRDefault="00F32458" w:rsidP="00C00D86">
      <w:pPr>
        <w:pStyle w:val="ListParagraph"/>
        <w:numPr>
          <w:ilvl w:val="0"/>
          <w:numId w:val="7"/>
        </w:numPr>
      </w:pPr>
      <w:r>
        <w:t>Инвестиције у иновације –</w:t>
      </w:r>
      <w:r w:rsidR="739E6135" w:rsidRPr="739E6135">
        <w:t xml:space="preserve"> Имплементација зеленог договора и стратегије "Од њиве до трпезе" захтева инвестиције у истраживање и развој нових технологија и иновација у аграрном сектору. Постојеће и нове иновативне решење могу помоћи у повећању ефикасности и одрживости пољопривредне производње.</w:t>
      </w:r>
    </w:p>
    <w:p w14:paraId="60B3D732" w14:textId="5C436E1D" w:rsidR="739E6135" w:rsidRPr="00F32458" w:rsidRDefault="00F32458" w:rsidP="00C00D86">
      <w:pPr>
        <w:pStyle w:val="ListParagraph"/>
        <w:numPr>
          <w:ilvl w:val="0"/>
          <w:numId w:val="7"/>
        </w:numPr>
      </w:pPr>
      <w:r>
        <w:t>Субвенције и финансирање –</w:t>
      </w:r>
      <w:r w:rsidR="739E6135" w:rsidRPr="739E6135">
        <w:t xml:space="preserve"> Нова Заједничка аграрна политика (ЗАП) у оквиру новог вишегодишњег финан</w:t>
      </w:r>
      <w:r>
        <w:t>сијског оквира 2021-2027. прелаз</w:t>
      </w:r>
      <w:r w:rsidR="739E6135" w:rsidRPr="739E6135">
        <w:t>е на флексибилнији систем финансирања и усмеравање више средстава ка стубу 2 ЗАП, који се односи на рурални развој и заштиту животне средине. Завршетак претходних година реформи и усмеравање ка</w:t>
      </w:r>
      <w:r>
        <w:t xml:space="preserve"> зеленом договору и стратегији „Од њиве до трпезе“</w:t>
      </w:r>
      <w:r w:rsidR="739E6135" w:rsidRPr="739E6135">
        <w:t xml:space="preserve"> имају импликације на аграрни сектор Европске уније које укључују промену пољопривредних пракси, инвестиције у иновације и промену финансирања, што захтева адаптацију пољопривредних произвођача и руралних заједница у складу са новим захтевима и циљевима.</w:t>
      </w:r>
    </w:p>
    <w:p w14:paraId="53F3AC26" w14:textId="7350A6F6" w:rsidR="739E6135" w:rsidRDefault="739E6135" w:rsidP="00F32458">
      <w:pPr>
        <w:jc w:val="center"/>
      </w:pPr>
      <w:r>
        <w:rPr>
          <w:noProof/>
          <w:lang w:val="en-US"/>
        </w:rPr>
        <w:drawing>
          <wp:inline distT="0" distB="0" distL="0" distR="0" wp14:anchorId="05FD501E" wp14:editId="49F350C7">
            <wp:extent cx="4572000" cy="2838450"/>
            <wp:effectExtent l="171450" t="171450" r="381000" b="361950"/>
            <wp:docPr id="1399289566" name="Slika 1399289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2838450"/>
                    </a:xfrm>
                    <a:prstGeom prst="rect">
                      <a:avLst/>
                    </a:prstGeom>
                    <a:ln>
                      <a:noFill/>
                    </a:ln>
                    <a:effectLst>
                      <a:outerShdw blurRad="292100" dist="139700" dir="2700000" algn="tl" rotWithShape="0">
                        <a:srgbClr val="333333">
                          <a:alpha val="65000"/>
                        </a:srgbClr>
                      </a:outerShdw>
                    </a:effectLst>
                  </pic:spPr>
                </pic:pic>
              </a:graphicData>
            </a:graphic>
          </wp:inline>
        </w:drawing>
      </w:r>
    </w:p>
    <w:p w14:paraId="38CBA5EC" w14:textId="7A081286" w:rsidR="00F32458" w:rsidRPr="00A76EB0" w:rsidRDefault="00F32458" w:rsidP="00A76EB0">
      <w:pPr>
        <w:pStyle w:val="Subtitle"/>
      </w:pPr>
      <w:r>
        <w:rPr>
          <w:rFonts w:eastAsia="Times New Roman"/>
        </w:rPr>
        <w:t xml:space="preserve">Слика 2. </w:t>
      </w:r>
      <w:r w:rsidR="739E6135" w:rsidRPr="739E6135">
        <w:rPr>
          <w:rFonts w:eastAsia="Times New Roman"/>
        </w:rPr>
        <w:t>Европски зелени договор</w:t>
      </w:r>
      <w:sdt>
        <w:sdtPr>
          <w:rPr>
            <w:rFonts w:eastAsia="Times New Roman"/>
          </w:rPr>
          <w:id w:val="-1632934727"/>
          <w:citation/>
        </w:sdtPr>
        <w:sdtEndPr/>
        <w:sdtContent>
          <w:r w:rsidR="0097315C">
            <w:rPr>
              <w:rFonts w:eastAsia="Times New Roman"/>
            </w:rPr>
            <w:fldChar w:fldCharType="begin"/>
          </w:r>
          <w:r w:rsidR="0097315C">
            <w:rPr>
              <w:rFonts w:eastAsia="Times New Roman"/>
            </w:rPr>
            <w:instrText xml:space="preserve"> CITATION Евр19 \l 10266 </w:instrText>
          </w:r>
          <w:r w:rsidR="0097315C">
            <w:rPr>
              <w:rFonts w:eastAsia="Times New Roman"/>
            </w:rPr>
            <w:fldChar w:fldCharType="separate"/>
          </w:r>
          <w:r w:rsidR="0097315C">
            <w:rPr>
              <w:rFonts w:eastAsia="Times New Roman"/>
              <w:noProof/>
            </w:rPr>
            <w:t xml:space="preserve"> </w:t>
          </w:r>
          <w:r w:rsidR="0097315C" w:rsidRPr="0097315C">
            <w:rPr>
              <w:rFonts w:eastAsia="Times New Roman"/>
              <w:noProof/>
            </w:rPr>
            <w:t>(Европски зелени договор, 2019)</w:t>
          </w:r>
          <w:r w:rsidR="0097315C">
            <w:rPr>
              <w:rFonts w:eastAsia="Times New Roman"/>
            </w:rPr>
            <w:fldChar w:fldCharType="end"/>
          </w:r>
        </w:sdtContent>
      </w:sdt>
    </w:p>
    <w:p w14:paraId="44B6B34E" w14:textId="2F93164F" w:rsidR="00140D9D" w:rsidRPr="007E53A7" w:rsidRDefault="739E6135" w:rsidP="005B19F0">
      <w:pPr>
        <w:pStyle w:val="Heading1"/>
      </w:pPr>
      <w:bookmarkStart w:id="13" w:name="_Toc136702848"/>
      <w:r>
        <w:lastRenderedPageBreak/>
        <w:t>Закључак</w:t>
      </w:r>
      <w:bookmarkEnd w:id="4"/>
      <w:bookmarkEnd w:id="13"/>
    </w:p>
    <w:p w14:paraId="5A8F828C" w14:textId="77777777" w:rsidR="00584ACC" w:rsidRDefault="00584ACC">
      <w:pPr>
        <w:rPr>
          <w:rFonts w:eastAsia="Times New Roman" w:cs="Times New Roman"/>
          <w:szCs w:val="24"/>
        </w:rPr>
      </w:pPr>
    </w:p>
    <w:p w14:paraId="23973921" w14:textId="5AE70658" w:rsidR="739E6135" w:rsidRDefault="739E6135" w:rsidP="00584ACC">
      <w:r w:rsidRPr="739E6135">
        <w:t xml:space="preserve">Европски зелени договор и нова Заједничка аграрна политика (ЗАП) Европске уније имају низ предности и потенцијала за аграрни сектор и унапређење животне средине. </w:t>
      </w:r>
    </w:p>
    <w:p w14:paraId="6C8A8E8E" w14:textId="57C4940C" w:rsidR="739E6135" w:rsidRDefault="739E6135" w:rsidP="00584ACC">
      <w:pPr>
        <w:rPr>
          <w:rFonts w:eastAsia="Calibri"/>
        </w:rPr>
      </w:pPr>
      <w:r w:rsidRPr="739E6135">
        <w:t>Борба против климатских промена, европски зелени договор и нова ЗАП имају за циљ да се смање емисије гасова са ефектом стакленика и боре против климатских промена. Ово је од виталног значаја за заштиту животне средине и одрживост аграрног сектора.</w:t>
      </w:r>
    </w:p>
    <w:p w14:paraId="7704457D" w14:textId="4E8FA7AA" w:rsidR="739E6135" w:rsidRDefault="739E6135" w:rsidP="00584ACC">
      <w:pPr>
        <w:rPr>
          <w:rFonts w:eastAsia="Calibri"/>
        </w:rPr>
      </w:pPr>
      <w:r w:rsidRPr="739E6135">
        <w:t>Одржива пољопривреда, зелени договор и нова ЗАП посебну пажњу посвећују промоцији одрживе пољопривреде. Ово укључује примену еколошки прихватљивих метода производње, заштиту биодиверзитета, управљање водним ресурсима и употребу обновљивих извора енергије.</w:t>
      </w:r>
    </w:p>
    <w:p w14:paraId="35BFD6EC" w14:textId="46DEAADE" w:rsidR="739E6135" w:rsidRDefault="739E6135" w:rsidP="00584ACC">
      <w:pPr>
        <w:rPr>
          <w:rFonts w:eastAsia="Calibri"/>
        </w:rPr>
      </w:pPr>
      <w:r w:rsidRPr="739E6135">
        <w:t>Рурални развој. нова ЗАП и стратегија "Од њиве до трпезе" пружају мере и инвестиције које подстичу рурални развој. Ово укључује подршку развоју руралних подручја, диверсификацију економије, креирање нових радних места и стварање животних услова за становнике руралних заједница.</w:t>
      </w:r>
    </w:p>
    <w:p w14:paraId="3461D779" w14:textId="162947AE" w:rsidR="00140D9D" w:rsidRPr="00F32458" w:rsidRDefault="739E6135" w:rsidP="00F32458">
      <w:pPr>
        <w:rPr>
          <w:rFonts w:eastAsia="Calibri"/>
        </w:rPr>
      </w:pPr>
      <w:r w:rsidRPr="739E6135">
        <w:t>Здрава исхрана, европски зелени договор и нова ЗАП промовишу производњу здраве исхране, усмеравајући пољопривреду ка одрживим и здравствено корисним методама производње. Ово може довести до више квалитетних производа доступних за потрошаче.</w:t>
      </w:r>
    </w:p>
    <w:p w14:paraId="3CF2D8B6" w14:textId="77777777" w:rsidR="007E53A7" w:rsidRDefault="007E53A7">
      <w:pPr>
        <w:spacing w:after="200" w:line="276" w:lineRule="auto"/>
        <w:ind w:firstLine="0"/>
        <w:jc w:val="left"/>
        <w:rPr>
          <w:rFonts w:eastAsiaTheme="majorEastAsia" w:cstheme="majorBidi"/>
          <w:b/>
          <w:bCs/>
          <w:caps/>
          <w:color w:val="F0AD00" w:themeColor="accent1"/>
          <w:sz w:val="28"/>
          <w:szCs w:val="28"/>
        </w:rPr>
      </w:pPr>
      <w:r>
        <w:br w:type="page"/>
      </w:r>
    </w:p>
    <w:p w14:paraId="0D9BE9A7" w14:textId="5CFCA982" w:rsidR="739E6135" w:rsidRPr="0097315C" w:rsidRDefault="739E6135" w:rsidP="0097315C">
      <w:pPr>
        <w:pStyle w:val="Heading1"/>
      </w:pPr>
      <w:bookmarkStart w:id="14" w:name="_Toc125246152"/>
      <w:bookmarkStart w:id="15" w:name="_Toc136702849"/>
      <w:r>
        <w:lastRenderedPageBreak/>
        <w:t>Литература</w:t>
      </w:r>
      <w:bookmarkEnd w:id="14"/>
      <w:bookmarkEnd w:id="15"/>
    </w:p>
    <w:sdt>
      <w:sdtPr>
        <w:rPr>
          <w:lang w:val="sr-Latn-CS"/>
        </w:rPr>
        <w:id w:val="-762681265"/>
        <w:docPartObj>
          <w:docPartGallery w:val="Bibliographies"/>
          <w:docPartUnique/>
        </w:docPartObj>
      </w:sdtPr>
      <w:sdtEndPr>
        <w:rPr>
          <w:lang w:val="sr-Cyrl-RS"/>
        </w:rPr>
      </w:sdtEndPr>
      <w:sdtContent>
        <w:p w14:paraId="0FB78278" w14:textId="77777777" w:rsidR="00E76BCC" w:rsidRPr="00F32458" w:rsidRDefault="00E76BCC" w:rsidP="00F32458">
          <w:pPr>
            <w:ind w:firstLine="0"/>
          </w:pPr>
        </w:p>
        <w:sdt>
          <w:sdtPr>
            <w:id w:val="111145805"/>
            <w:bibliography/>
          </w:sdtPr>
          <w:sdtEndPr/>
          <w:sdtContent>
            <w:p w14:paraId="3CAD43F7" w14:textId="5C2E64FF" w:rsidR="0097315C" w:rsidRDefault="00E76BCC" w:rsidP="0097315C">
              <w:pPr>
                <w:pStyle w:val="Bibliography"/>
                <w:ind w:left="720" w:hanging="720"/>
                <w:rPr>
                  <w:noProof/>
                </w:rPr>
              </w:pPr>
              <w:r>
                <w:fldChar w:fldCharType="begin"/>
              </w:r>
              <w:r>
                <w:instrText>BIBLIOGRAPHY</w:instrText>
              </w:r>
              <w:r>
                <w:fldChar w:fldCharType="separate"/>
              </w:r>
              <w:r w:rsidR="0097315C">
                <w:rPr>
                  <w:noProof/>
                </w:rPr>
                <w:t xml:space="preserve">Европски зелени договор. (2019). </w:t>
              </w:r>
              <w:r w:rsidR="0097315C">
                <w:rPr>
                  <w:i/>
                  <w:iCs/>
                  <w:noProof/>
                </w:rPr>
                <w:t>Саопштење комисије европском парламенту, европском савету, савету ЕУ, евопском економском и социјалном комитету и комитету региона.</w:t>
              </w:r>
              <w:r w:rsidR="0097315C">
                <w:rPr>
                  <w:noProof/>
                </w:rPr>
                <w:t xml:space="preserve"> Брисел: Европски зелени договор.</w:t>
              </w:r>
            </w:p>
            <w:p w14:paraId="5E15388A" w14:textId="7CC7069F" w:rsidR="0097315C" w:rsidRDefault="0097315C" w:rsidP="0097315C">
              <w:pPr>
                <w:pStyle w:val="Bibliography"/>
                <w:ind w:left="720" w:hanging="720"/>
                <w:rPr>
                  <w:noProof/>
                </w:rPr>
              </w:pPr>
              <w:r>
                <w:rPr>
                  <w:noProof/>
                </w:rPr>
                <w:t xml:space="preserve">Јовић, Л. В., Ђокић, Д., &amp; Зекић, С. (2022). </w:t>
              </w:r>
              <w:r>
                <w:rPr>
                  <w:i/>
                  <w:iCs/>
                  <w:noProof/>
                </w:rPr>
                <w:t>Нова заједничка аграрна политика Европске Ууније (2023-27) и потенцијалне импликације на пољопривреду Србије</w:t>
              </w:r>
              <w:r>
                <w:rPr>
                  <w:noProof/>
                </w:rPr>
                <w:t xml:space="preserve"> (стр. 263-268). Суботица: Економски факултет.</w:t>
              </w:r>
            </w:p>
            <w:p w14:paraId="6F26EFDB" w14:textId="6F703343" w:rsidR="0097315C" w:rsidRDefault="0097315C" w:rsidP="0097315C">
              <w:pPr>
                <w:pStyle w:val="Bibliography"/>
                <w:ind w:left="720" w:hanging="720"/>
                <w:rPr>
                  <w:noProof/>
                </w:rPr>
              </w:pPr>
              <w:r>
                <w:rPr>
                  <w:noProof/>
                </w:rPr>
                <w:t xml:space="preserve">Лакић, Д. М. (2015). </w:t>
              </w:r>
              <w:r>
                <w:rPr>
                  <w:i/>
                  <w:iCs/>
                  <w:noProof/>
                </w:rPr>
                <w:t>Утицај проширења Европске Уније на процес европских интеграција.</w:t>
              </w:r>
              <w:r>
                <w:rPr>
                  <w:noProof/>
                </w:rPr>
                <w:t xml:space="preserve"> Београд: Факултет политичких наука.</w:t>
              </w:r>
            </w:p>
            <w:p w14:paraId="43CC89B6" w14:textId="75591967" w:rsidR="0097315C" w:rsidRDefault="0097315C" w:rsidP="0097315C">
              <w:pPr>
                <w:pStyle w:val="Bibliography"/>
                <w:ind w:left="720" w:hanging="720"/>
                <w:rPr>
                  <w:noProof/>
                </w:rPr>
              </w:pPr>
              <w:r>
                <w:rPr>
                  <w:noProof/>
                </w:rPr>
                <w:t xml:space="preserve">Милановић, М. (2005). </w:t>
              </w:r>
              <w:r>
                <w:rPr>
                  <w:i/>
                  <w:iCs/>
                  <w:noProof/>
                </w:rPr>
                <w:t>Приближавање Србије/СЦГ Европској Унији</w:t>
              </w:r>
              <w:r>
                <w:rPr>
                  <w:noProof/>
                </w:rPr>
                <w:t xml:space="preserve"> (стр. 95-113). Ваљево: Факултет за менаџмент.</w:t>
              </w:r>
            </w:p>
            <w:p w14:paraId="18CBED33" w14:textId="2E821D9E" w:rsidR="0097315C" w:rsidRDefault="0097315C" w:rsidP="0097315C">
              <w:pPr>
                <w:pStyle w:val="Bibliography"/>
                <w:ind w:left="720" w:hanging="720"/>
                <w:rPr>
                  <w:noProof/>
                </w:rPr>
              </w:pPr>
              <w:r>
                <w:rPr>
                  <w:noProof/>
                </w:rPr>
                <w:t xml:space="preserve">Србија, Р. (2018). </w:t>
              </w:r>
              <w:r>
                <w:rPr>
                  <w:i/>
                  <w:iCs/>
                  <w:noProof/>
                </w:rPr>
                <w:t>Заједничка пољопривредна политика Европске Уније (ЗПП)</w:t>
              </w:r>
              <w:r>
                <w:rPr>
                  <w:noProof/>
                </w:rPr>
                <w:t xml:space="preserve"> (стр. 2-11). Министарство пољопривреде, шумарства и водопривреде.</w:t>
              </w:r>
            </w:p>
            <w:p w14:paraId="62578E73" w14:textId="4124B67E" w:rsidR="0097315C" w:rsidRDefault="0097315C" w:rsidP="0097315C">
              <w:pPr>
                <w:pStyle w:val="Bibliography"/>
                <w:ind w:left="720" w:hanging="720"/>
                <w:rPr>
                  <w:noProof/>
                </w:rPr>
              </w:pPr>
              <w:r>
                <w:rPr>
                  <w:noProof/>
                </w:rPr>
                <w:t xml:space="preserve">Стојановић, И., Манић, А., &amp; Нерић, Н. (2018). </w:t>
              </w:r>
              <w:r>
                <w:rPr>
                  <w:i/>
                  <w:iCs/>
                  <w:noProof/>
                </w:rPr>
                <w:t>Аграрна политика и рурални развој Европске Уније и Србије</w:t>
              </w:r>
              <w:r>
                <w:rPr>
                  <w:noProof/>
                </w:rPr>
                <w:t xml:space="preserve"> (стр. 117-140). Зајечар: Факултет за менаџмент.</w:t>
              </w:r>
            </w:p>
            <w:p w14:paraId="5400B236" w14:textId="03762684" w:rsidR="0097315C" w:rsidRDefault="0097315C" w:rsidP="0097315C">
              <w:pPr>
                <w:pStyle w:val="Bibliography"/>
                <w:ind w:left="720" w:hanging="720"/>
                <w:rPr>
                  <w:noProof/>
                </w:rPr>
              </w:pPr>
              <w:r>
                <w:rPr>
                  <w:noProof/>
                </w:rPr>
                <w:t xml:space="preserve">Цвијановић, Д., Симоновић, З., &amp; Михаиловић, Б. (2011). </w:t>
              </w:r>
              <w:r>
                <w:rPr>
                  <w:i/>
                  <w:iCs/>
                  <w:noProof/>
                </w:rPr>
                <w:t>Тежишта и цињеви новијих реформи аграрне и регионалне политике Европске Уније</w:t>
              </w:r>
              <w:r>
                <w:rPr>
                  <w:noProof/>
                </w:rPr>
                <w:t xml:space="preserve"> (стр. 359-370). Београд: Институт за економику пољопривреде.</w:t>
              </w:r>
            </w:p>
            <w:p w14:paraId="1FC39945" w14:textId="63FFBA83" w:rsidR="005B19F0" w:rsidRPr="00EE2E3F" w:rsidRDefault="00E76BCC" w:rsidP="0097315C">
              <w:pPr>
                <w:ind w:firstLine="0"/>
              </w:pPr>
              <w:r>
                <w:rPr>
                  <w:b/>
                  <w:bCs/>
                </w:rPr>
                <w:fldChar w:fldCharType="end"/>
              </w:r>
            </w:p>
          </w:sdtContent>
        </w:sdt>
      </w:sdtContent>
    </w:sdt>
    <w:sectPr w:rsidR="005B19F0" w:rsidRPr="00EE2E3F" w:rsidSect="00B60EEB">
      <w:footerReference w:type="default" r:id="rId12"/>
      <w:pgSz w:w="11906" w:h="16838"/>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5805D" w14:textId="77777777" w:rsidR="00FC0454" w:rsidRDefault="00FC0454" w:rsidP="00B60EEB">
      <w:pPr>
        <w:spacing w:after="0" w:line="240" w:lineRule="auto"/>
      </w:pPr>
      <w:r>
        <w:separator/>
      </w:r>
    </w:p>
  </w:endnote>
  <w:endnote w:type="continuationSeparator" w:id="0">
    <w:p w14:paraId="76C36DC3" w14:textId="77777777" w:rsidR="00FC0454" w:rsidRDefault="00FC0454" w:rsidP="00B60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F7E7" w14:textId="461802A2" w:rsidR="00B60EEB" w:rsidRPr="00B60EEB" w:rsidRDefault="00B60EEB" w:rsidP="00B60EEB">
    <w:pPr>
      <w:pBdr>
        <w:left w:val="single" w:sz="12" w:space="11" w:color="F0AD00" w:themeColor="accent1"/>
      </w:pBdr>
      <w:tabs>
        <w:tab w:val="left" w:pos="622"/>
        <w:tab w:val="right" w:pos="9360"/>
      </w:tabs>
      <w:ind w:firstLine="0"/>
      <w:rPr>
        <w:rFonts w:asciiTheme="majorHAnsi" w:eastAsiaTheme="majorEastAsia" w:hAnsiTheme="majorHAnsi" w:cstheme="majorBidi"/>
        <w:color w:val="B38000" w:themeColor="accent1" w:themeShade="BF"/>
        <w:sz w:val="26"/>
        <w:szCs w:val="26"/>
      </w:rPr>
    </w:pPr>
    <w:r>
      <w:rPr>
        <w:rFonts w:asciiTheme="majorHAnsi" w:eastAsiaTheme="majorEastAsia" w:hAnsiTheme="majorHAnsi" w:cstheme="majorBidi"/>
        <w:color w:val="B38000" w:themeColor="accent1" w:themeShade="BF"/>
        <w:sz w:val="26"/>
        <w:szCs w:val="26"/>
      </w:rPr>
      <w:tab/>
    </w:r>
    <w:r w:rsidRPr="00397D58">
      <w:rPr>
        <w:rFonts w:eastAsiaTheme="majorEastAsia" w:cs="Times New Roman"/>
        <w:color w:val="B38000" w:themeColor="accent1" w:themeShade="BF"/>
        <w:szCs w:val="26"/>
      </w:rPr>
      <w:fldChar w:fldCharType="begin"/>
    </w:r>
    <w:r w:rsidRPr="00397D58">
      <w:rPr>
        <w:rFonts w:eastAsiaTheme="majorEastAsia" w:cs="Times New Roman"/>
        <w:color w:val="B38000" w:themeColor="accent1" w:themeShade="BF"/>
        <w:szCs w:val="26"/>
      </w:rPr>
      <w:instrText xml:space="preserve"> PAGE   \* MERGEFORMAT </w:instrText>
    </w:r>
    <w:r w:rsidRPr="00397D58">
      <w:rPr>
        <w:rFonts w:eastAsiaTheme="majorEastAsia" w:cs="Times New Roman"/>
        <w:color w:val="B38000" w:themeColor="accent1" w:themeShade="BF"/>
        <w:szCs w:val="26"/>
      </w:rPr>
      <w:fldChar w:fldCharType="separate"/>
    </w:r>
    <w:r w:rsidR="00CD106E">
      <w:rPr>
        <w:rFonts w:eastAsiaTheme="majorEastAsia" w:cs="Times New Roman"/>
        <w:noProof/>
        <w:color w:val="B38000" w:themeColor="accent1" w:themeShade="BF"/>
        <w:szCs w:val="26"/>
      </w:rPr>
      <w:t>14</w:t>
    </w:r>
    <w:r w:rsidRPr="00397D58">
      <w:rPr>
        <w:rFonts w:eastAsiaTheme="majorEastAsia" w:cs="Times New Roman"/>
        <w:noProof/>
        <w:color w:val="B38000" w:themeColor="accent1" w:themeShade="BF"/>
        <w:szCs w:val="2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B8ADB" w14:textId="77777777" w:rsidR="00FC0454" w:rsidRDefault="00FC0454" w:rsidP="00B60EEB">
      <w:pPr>
        <w:spacing w:after="0" w:line="240" w:lineRule="auto"/>
      </w:pPr>
      <w:r>
        <w:separator/>
      </w:r>
    </w:p>
  </w:footnote>
  <w:footnote w:type="continuationSeparator" w:id="0">
    <w:p w14:paraId="10373137" w14:textId="77777777" w:rsidR="00FC0454" w:rsidRDefault="00FC0454" w:rsidP="00B60EEB">
      <w:pPr>
        <w:spacing w:after="0" w:line="240" w:lineRule="auto"/>
      </w:pPr>
      <w:r>
        <w:continuationSeparator/>
      </w:r>
    </w:p>
  </w:footnote>
  <w:footnote w:id="1">
    <w:p w14:paraId="573D58C4" w14:textId="0FF5D9F8" w:rsidR="00F32458" w:rsidRDefault="00F32458" w:rsidP="00F32458">
      <w:pPr>
        <w:pStyle w:val="FootnoteText"/>
        <w:ind w:firstLine="0"/>
      </w:pPr>
      <w:r>
        <w:rPr>
          <w:rStyle w:val="FootnoteReference"/>
        </w:rPr>
        <w:footnoteRef/>
      </w:r>
      <w:r>
        <w:t xml:space="preserve"> </w:t>
      </w:r>
      <w:r w:rsidR="0097315C" w:rsidRPr="0097315C">
        <w:t>Стојановић, И., Манић, А., &amp; Нерић, Н. (2018). Аграрна политика и рурални развој Европске Уније и Србије (стр. 117-140). Зајечар: Факултет за менаџмент.</w:t>
      </w:r>
    </w:p>
  </w:footnote>
  <w:footnote w:id="2">
    <w:p w14:paraId="0490B5B9" w14:textId="5F87FFA9" w:rsidR="00F32458" w:rsidRDefault="00F32458" w:rsidP="00F32458">
      <w:pPr>
        <w:pStyle w:val="FootnoteText"/>
        <w:ind w:firstLine="0"/>
      </w:pPr>
      <w:r>
        <w:rPr>
          <w:rStyle w:val="FootnoteReference"/>
        </w:rPr>
        <w:footnoteRef/>
      </w:r>
      <w:r>
        <w:t xml:space="preserve"> </w:t>
      </w:r>
      <w:r w:rsidR="0097315C" w:rsidRPr="0097315C">
        <w:t>Стојановић, И., Манић, А., &amp; Нерић, Н. (2018). Аграрна политика и рурални развој Европске Уније и Србије (стр. 117-140). Зајечар: Факултет за менаџмент.</w:t>
      </w:r>
    </w:p>
  </w:footnote>
  <w:footnote w:id="3">
    <w:p w14:paraId="6AAD72B0" w14:textId="315535AB" w:rsidR="00F32458" w:rsidRDefault="00F32458" w:rsidP="00F32458">
      <w:pPr>
        <w:pStyle w:val="FootnoteText"/>
        <w:ind w:firstLine="0"/>
      </w:pPr>
      <w:r>
        <w:rPr>
          <w:rStyle w:val="FootnoteReference"/>
        </w:rPr>
        <w:footnoteRef/>
      </w:r>
      <w:r>
        <w:t xml:space="preserve"> </w:t>
      </w:r>
      <w:r w:rsidR="0097315C" w:rsidRPr="0097315C">
        <w:t>Србија, Р. (2018). Заједничка пољопривредна политика Европске Уније (ЗПП) (стр. 2-11). Министарство пољопривреде, шумарства и водопривреде.</w:t>
      </w:r>
    </w:p>
  </w:footnote>
  <w:footnote w:id="4">
    <w:p w14:paraId="73827A17" w14:textId="220409E5" w:rsidR="00F32458" w:rsidRDefault="00F32458" w:rsidP="00F32458">
      <w:pPr>
        <w:pStyle w:val="FootnoteText"/>
        <w:ind w:firstLine="0"/>
      </w:pPr>
      <w:r>
        <w:rPr>
          <w:rStyle w:val="FootnoteReference"/>
        </w:rPr>
        <w:footnoteRef/>
      </w:r>
      <w:r>
        <w:t xml:space="preserve"> </w:t>
      </w:r>
      <w:r w:rsidR="0097315C" w:rsidRPr="0097315C">
        <w:t>Србија, Р. (2018). Заједничка пољопривредна политика Европске Уније (ЗПП) (стр. 2-11). Министарство пољопривреде, шумарства и водопривреде.</w:t>
      </w:r>
    </w:p>
  </w:footnote>
  <w:footnote w:id="5">
    <w:p w14:paraId="0A996D75" w14:textId="5E6E311E" w:rsidR="00F32458" w:rsidRDefault="00F32458" w:rsidP="00F32458">
      <w:pPr>
        <w:pStyle w:val="FootnoteText"/>
        <w:ind w:firstLine="0"/>
      </w:pPr>
      <w:r>
        <w:rPr>
          <w:rStyle w:val="FootnoteReference"/>
        </w:rPr>
        <w:footnoteRef/>
      </w:r>
      <w:r>
        <w:t xml:space="preserve"> </w:t>
      </w:r>
      <w:r w:rsidR="0097315C" w:rsidRPr="0097315C">
        <w:t>Јовић, Л. В., Ђокић, Д., &amp; Зекић, С. (2022). Нова заједничка аграрна политика Европске Ууније (2023-27) и потенцијалне импликације на пољопривреду Србије (стр. 263-268). Суботица: Економски факултет.</w:t>
      </w:r>
    </w:p>
  </w:footnote>
  <w:footnote w:id="6">
    <w:p w14:paraId="76006909" w14:textId="445F2B95" w:rsidR="00F32458" w:rsidRDefault="00F32458" w:rsidP="00F32458">
      <w:pPr>
        <w:pStyle w:val="FootnoteText"/>
        <w:ind w:firstLine="0"/>
      </w:pPr>
      <w:r>
        <w:rPr>
          <w:rStyle w:val="FootnoteReference"/>
        </w:rPr>
        <w:footnoteRef/>
      </w:r>
      <w:r>
        <w:t xml:space="preserve"> </w:t>
      </w:r>
      <w:r w:rsidR="0097315C">
        <w:t>Исто.</w:t>
      </w:r>
    </w:p>
  </w:footnote>
  <w:footnote w:id="7">
    <w:p w14:paraId="6448AC44" w14:textId="04741E6A" w:rsidR="00F32458" w:rsidRDefault="00F32458" w:rsidP="00F32458">
      <w:pPr>
        <w:pStyle w:val="FootnoteText"/>
        <w:ind w:firstLine="0"/>
      </w:pPr>
      <w:r>
        <w:rPr>
          <w:rStyle w:val="FootnoteReference"/>
        </w:rPr>
        <w:footnoteRef/>
      </w:r>
      <w:r>
        <w:t xml:space="preserve"> </w:t>
      </w:r>
      <w:r w:rsidR="0097315C" w:rsidRPr="0097315C">
        <w:t>Цвијановић, Д., Симоновић, З., &amp; Михаиловић, Б. (2011). Тежишта и цињеви новијих реформи аграрне и регионалне политике Европске Уније (стр. 359-370). Београд: Институт за економику пољопривреде.</w:t>
      </w:r>
    </w:p>
  </w:footnote>
  <w:footnote w:id="8">
    <w:p w14:paraId="3F91DC69" w14:textId="39D176C3" w:rsidR="00F32458" w:rsidRDefault="00F32458" w:rsidP="00F32458">
      <w:pPr>
        <w:pStyle w:val="FootnoteText"/>
        <w:ind w:firstLine="0"/>
      </w:pPr>
      <w:r>
        <w:rPr>
          <w:rStyle w:val="FootnoteReference"/>
        </w:rPr>
        <w:footnoteRef/>
      </w:r>
      <w:r>
        <w:t xml:space="preserve"> </w:t>
      </w:r>
      <w:r w:rsidR="0097315C" w:rsidRPr="0097315C">
        <w:t>Цвијановић, Д., Симоновић, З., &amp; Михаиловић, Б. (2011). Тежишта и цињеви новијих реформи аграрне и регионалне политике Европске Уније (стр. 359-370). Београд: Институт за економику пољопривреде.</w:t>
      </w:r>
    </w:p>
  </w:footnote>
  <w:footnote w:id="9">
    <w:p w14:paraId="30D28B23" w14:textId="6FCF5BFE" w:rsidR="00F32458" w:rsidRDefault="00F32458" w:rsidP="00F32458">
      <w:pPr>
        <w:pStyle w:val="FootnoteText"/>
        <w:ind w:firstLine="0"/>
      </w:pPr>
      <w:r>
        <w:rPr>
          <w:rStyle w:val="FootnoteReference"/>
        </w:rPr>
        <w:footnoteRef/>
      </w:r>
      <w:r>
        <w:t xml:space="preserve"> </w:t>
      </w:r>
      <w:r w:rsidR="0097315C" w:rsidRPr="0097315C">
        <w:t>Милановић, М. (2005). Приближавање Србије/СЦГ Европској Унији (стр. 95-113). Ваљево: Факултет за менаџмент.</w:t>
      </w:r>
    </w:p>
  </w:footnote>
  <w:footnote w:id="10">
    <w:p w14:paraId="630CF31F" w14:textId="7FCD37ED" w:rsidR="00F32458" w:rsidRDefault="00F32458" w:rsidP="00F32458">
      <w:pPr>
        <w:pStyle w:val="FootnoteText"/>
        <w:ind w:firstLine="0"/>
      </w:pPr>
      <w:r>
        <w:rPr>
          <w:rStyle w:val="FootnoteReference"/>
        </w:rPr>
        <w:footnoteRef/>
      </w:r>
      <w:r>
        <w:t xml:space="preserve"> </w:t>
      </w:r>
      <w:r w:rsidR="0097315C">
        <w:t>Исто.</w:t>
      </w:r>
    </w:p>
  </w:footnote>
  <w:footnote w:id="11">
    <w:p w14:paraId="2EF0E7CD" w14:textId="2EF64D74" w:rsidR="00F32458" w:rsidRDefault="00F32458" w:rsidP="00F32458">
      <w:pPr>
        <w:pStyle w:val="FootnoteText"/>
        <w:ind w:firstLine="0"/>
      </w:pPr>
      <w:r>
        <w:rPr>
          <w:rStyle w:val="FootnoteReference"/>
        </w:rPr>
        <w:footnoteRef/>
      </w:r>
      <w:r>
        <w:t xml:space="preserve"> </w:t>
      </w:r>
      <w:r w:rsidR="0097315C" w:rsidRPr="0097315C">
        <w:t>Лакић, Д. М. (2015). Утицај проширења Европске Уније на процес европских интеграција. Београд: Факултет политичких наука.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8E8E" w14:textId="0E535595" w:rsidR="00B60EEB" w:rsidRPr="00B60EEB" w:rsidRDefault="00B60EEB" w:rsidP="00B60EEB">
    <w:pPr>
      <w:pBdr>
        <w:left w:val="single" w:sz="12" w:space="11" w:color="F0AD00" w:themeColor="accent1"/>
      </w:pBdr>
      <w:tabs>
        <w:tab w:val="left" w:pos="3620"/>
        <w:tab w:val="left" w:pos="3964"/>
      </w:tabs>
      <w:ind w:firstLine="0"/>
      <w:rPr>
        <w:rFonts w:eastAsiaTheme="majorEastAsia" w:cs="Times New Roman"/>
        <w:i/>
        <w:color w:val="B38000" w:themeColor="accent1" w:themeShade="BF"/>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416C6"/>
    <w:multiLevelType w:val="hybridMultilevel"/>
    <w:tmpl w:val="A1AE2278"/>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1" w15:restartNumberingAfterBreak="0">
    <w:nsid w:val="1ECE6F82"/>
    <w:multiLevelType w:val="hybridMultilevel"/>
    <w:tmpl w:val="D2A0FE3C"/>
    <w:lvl w:ilvl="0" w:tplc="970E999E">
      <w:start w:val="1"/>
      <w:numFmt w:val="decimal"/>
      <w:lvlText w:val="%1."/>
      <w:lvlJc w:val="left"/>
      <w:pPr>
        <w:ind w:left="720" w:hanging="360"/>
      </w:pPr>
    </w:lvl>
    <w:lvl w:ilvl="1" w:tplc="CF4E8F7E">
      <w:start w:val="1"/>
      <w:numFmt w:val="lowerLetter"/>
      <w:lvlText w:val="%2."/>
      <w:lvlJc w:val="left"/>
      <w:pPr>
        <w:ind w:left="1440" w:hanging="360"/>
      </w:pPr>
    </w:lvl>
    <w:lvl w:ilvl="2" w:tplc="481AA128">
      <w:start w:val="1"/>
      <w:numFmt w:val="lowerRoman"/>
      <w:lvlText w:val="%3."/>
      <w:lvlJc w:val="right"/>
      <w:pPr>
        <w:ind w:left="2160" w:hanging="180"/>
      </w:pPr>
    </w:lvl>
    <w:lvl w:ilvl="3" w:tplc="FEDCD3E4">
      <w:start w:val="1"/>
      <w:numFmt w:val="decimal"/>
      <w:lvlText w:val="%4."/>
      <w:lvlJc w:val="left"/>
      <w:pPr>
        <w:ind w:left="2880" w:hanging="360"/>
      </w:pPr>
    </w:lvl>
    <w:lvl w:ilvl="4" w:tplc="4A7CCDEE">
      <w:start w:val="1"/>
      <w:numFmt w:val="lowerLetter"/>
      <w:lvlText w:val="%5."/>
      <w:lvlJc w:val="left"/>
      <w:pPr>
        <w:ind w:left="3600" w:hanging="360"/>
      </w:pPr>
    </w:lvl>
    <w:lvl w:ilvl="5" w:tplc="D5EEC132">
      <w:start w:val="1"/>
      <w:numFmt w:val="lowerRoman"/>
      <w:lvlText w:val="%6."/>
      <w:lvlJc w:val="right"/>
      <w:pPr>
        <w:ind w:left="4320" w:hanging="180"/>
      </w:pPr>
    </w:lvl>
    <w:lvl w:ilvl="6" w:tplc="142E7D46">
      <w:start w:val="1"/>
      <w:numFmt w:val="decimal"/>
      <w:lvlText w:val="%7."/>
      <w:lvlJc w:val="left"/>
      <w:pPr>
        <w:ind w:left="5040" w:hanging="360"/>
      </w:pPr>
    </w:lvl>
    <w:lvl w:ilvl="7" w:tplc="5830BEAA">
      <w:start w:val="1"/>
      <w:numFmt w:val="lowerLetter"/>
      <w:lvlText w:val="%8."/>
      <w:lvlJc w:val="left"/>
      <w:pPr>
        <w:ind w:left="5760" w:hanging="360"/>
      </w:pPr>
    </w:lvl>
    <w:lvl w:ilvl="8" w:tplc="2AAC6FC4">
      <w:start w:val="1"/>
      <w:numFmt w:val="lowerRoman"/>
      <w:lvlText w:val="%9."/>
      <w:lvlJc w:val="right"/>
      <w:pPr>
        <w:ind w:left="6480" w:hanging="180"/>
      </w:pPr>
    </w:lvl>
  </w:abstractNum>
  <w:abstractNum w:abstractNumId="2" w15:restartNumberingAfterBreak="0">
    <w:nsid w:val="2BB200B9"/>
    <w:multiLevelType w:val="hybridMultilevel"/>
    <w:tmpl w:val="C890E2CE"/>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3" w15:restartNumberingAfterBreak="0">
    <w:nsid w:val="3DDE2848"/>
    <w:multiLevelType w:val="hybridMultilevel"/>
    <w:tmpl w:val="2D00D894"/>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4" w15:restartNumberingAfterBreak="0">
    <w:nsid w:val="515F76B5"/>
    <w:multiLevelType w:val="hybridMultilevel"/>
    <w:tmpl w:val="C4B83C5C"/>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5" w15:restartNumberingAfterBreak="0">
    <w:nsid w:val="6D3A1318"/>
    <w:multiLevelType w:val="hybridMultilevel"/>
    <w:tmpl w:val="53B25254"/>
    <w:lvl w:ilvl="0" w:tplc="04090001">
      <w:start w:val="1"/>
      <w:numFmt w:val="bullet"/>
      <w:lvlText w:val=""/>
      <w:lvlJc w:val="left"/>
      <w:pPr>
        <w:ind w:left="1776" w:hanging="360"/>
      </w:pPr>
      <w:rPr>
        <w:rFonts w:ascii="Symbol" w:hAnsi="Symbol" w:hint="default"/>
      </w:rPr>
    </w:lvl>
    <w:lvl w:ilvl="1" w:tplc="281A0003" w:tentative="1">
      <w:start w:val="1"/>
      <w:numFmt w:val="bullet"/>
      <w:lvlText w:val="o"/>
      <w:lvlJc w:val="left"/>
      <w:pPr>
        <w:ind w:left="2496" w:hanging="360"/>
      </w:pPr>
      <w:rPr>
        <w:rFonts w:ascii="Courier New" w:hAnsi="Courier New" w:cs="Courier New" w:hint="default"/>
      </w:rPr>
    </w:lvl>
    <w:lvl w:ilvl="2" w:tplc="281A0005" w:tentative="1">
      <w:start w:val="1"/>
      <w:numFmt w:val="bullet"/>
      <w:lvlText w:val=""/>
      <w:lvlJc w:val="left"/>
      <w:pPr>
        <w:ind w:left="3216" w:hanging="360"/>
      </w:pPr>
      <w:rPr>
        <w:rFonts w:ascii="Wingdings" w:hAnsi="Wingdings" w:hint="default"/>
      </w:rPr>
    </w:lvl>
    <w:lvl w:ilvl="3" w:tplc="281A0001" w:tentative="1">
      <w:start w:val="1"/>
      <w:numFmt w:val="bullet"/>
      <w:lvlText w:val=""/>
      <w:lvlJc w:val="left"/>
      <w:pPr>
        <w:ind w:left="3936" w:hanging="360"/>
      </w:pPr>
      <w:rPr>
        <w:rFonts w:ascii="Symbol" w:hAnsi="Symbol" w:hint="default"/>
      </w:rPr>
    </w:lvl>
    <w:lvl w:ilvl="4" w:tplc="281A0003" w:tentative="1">
      <w:start w:val="1"/>
      <w:numFmt w:val="bullet"/>
      <w:lvlText w:val="o"/>
      <w:lvlJc w:val="left"/>
      <w:pPr>
        <w:ind w:left="4656" w:hanging="360"/>
      </w:pPr>
      <w:rPr>
        <w:rFonts w:ascii="Courier New" w:hAnsi="Courier New" w:cs="Courier New" w:hint="default"/>
      </w:rPr>
    </w:lvl>
    <w:lvl w:ilvl="5" w:tplc="281A0005" w:tentative="1">
      <w:start w:val="1"/>
      <w:numFmt w:val="bullet"/>
      <w:lvlText w:val=""/>
      <w:lvlJc w:val="left"/>
      <w:pPr>
        <w:ind w:left="5376" w:hanging="360"/>
      </w:pPr>
      <w:rPr>
        <w:rFonts w:ascii="Wingdings" w:hAnsi="Wingdings" w:hint="default"/>
      </w:rPr>
    </w:lvl>
    <w:lvl w:ilvl="6" w:tplc="281A0001" w:tentative="1">
      <w:start w:val="1"/>
      <w:numFmt w:val="bullet"/>
      <w:lvlText w:val=""/>
      <w:lvlJc w:val="left"/>
      <w:pPr>
        <w:ind w:left="6096" w:hanging="360"/>
      </w:pPr>
      <w:rPr>
        <w:rFonts w:ascii="Symbol" w:hAnsi="Symbol" w:hint="default"/>
      </w:rPr>
    </w:lvl>
    <w:lvl w:ilvl="7" w:tplc="281A0003" w:tentative="1">
      <w:start w:val="1"/>
      <w:numFmt w:val="bullet"/>
      <w:lvlText w:val="o"/>
      <w:lvlJc w:val="left"/>
      <w:pPr>
        <w:ind w:left="6816" w:hanging="360"/>
      </w:pPr>
      <w:rPr>
        <w:rFonts w:ascii="Courier New" w:hAnsi="Courier New" w:cs="Courier New" w:hint="default"/>
      </w:rPr>
    </w:lvl>
    <w:lvl w:ilvl="8" w:tplc="281A0005" w:tentative="1">
      <w:start w:val="1"/>
      <w:numFmt w:val="bullet"/>
      <w:lvlText w:val=""/>
      <w:lvlJc w:val="left"/>
      <w:pPr>
        <w:ind w:left="7536" w:hanging="360"/>
      </w:pPr>
      <w:rPr>
        <w:rFonts w:ascii="Wingdings" w:hAnsi="Wingdings" w:hint="default"/>
      </w:rPr>
    </w:lvl>
  </w:abstractNum>
  <w:abstractNum w:abstractNumId="6" w15:restartNumberingAfterBreak="0">
    <w:nsid w:val="798D681B"/>
    <w:multiLevelType w:val="multilevel"/>
    <w:tmpl w:val="57DE67C2"/>
    <w:lvl w:ilvl="0">
      <w:start w:val="1"/>
      <w:numFmt w:val="decimal"/>
      <w:lvlText w:val="%1."/>
      <w:lvlJc w:val="left"/>
      <w:pPr>
        <w:ind w:left="525" w:hanging="525"/>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num w:numId="1">
    <w:abstractNumId w:val="1"/>
  </w:num>
  <w:num w:numId="2">
    <w:abstractNumId w:val="6"/>
  </w:num>
  <w:num w:numId="3">
    <w:abstractNumId w:val="5"/>
  </w:num>
  <w:num w:numId="4">
    <w:abstractNumId w:val="3"/>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9D"/>
    <w:rsid w:val="000B3AF8"/>
    <w:rsid w:val="00140D9D"/>
    <w:rsid w:val="001F7EBC"/>
    <w:rsid w:val="00242693"/>
    <w:rsid w:val="003601C0"/>
    <w:rsid w:val="00390A12"/>
    <w:rsid w:val="003B5B93"/>
    <w:rsid w:val="004779C1"/>
    <w:rsid w:val="00584ACC"/>
    <w:rsid w:val="005B19F0"/>
    <w:rsid w:val="005B4862"/>
    <w:rsid w:val="006046A3"/>
    <w:rsid w:val="007E53A7"/>
    <w:rsid w:val="0097315C"/>
    <w:rsid w:val="00A73731"/>
    <w:rsid w:val="00A76EB0"/>
    <w:rsid w:val="00B60EEB"/>
    <w:rsid w:val="00C00D86"/>
    <w:rsid w:val="00CD106E"/>
    <w:rsid w:val="00D454D4"/>
    <w:rsid w:val="00E307E3"/>
    <w:rsid w:val="00E3611B"/>
    <w:rsid w:val="00E74E7B"/>
    <w:rsid w:val="00E76BCC"/>
    <w:rsid w:val="00EE2E3F"/>
    <w:rsid w:val="00EE5CE0"/>
    <w:rsid w:val="00EF70EC"/>
    <w:rsid w:val="00F32458"/>
    <w:rsid w:val="00FC0454"/>
    <w:rsid w:val="739E6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92F6B"/>
  <w15:docId w15:val="{D5356600-1F75-4B6F-8D05-382803B4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D9D"/>
    <w:pPr>
      <w:spacing w:after="120" w:line="360" w:lineRule="auto"/>
      <w:ind w:firstLine="709"/>
      <w:jc w:val="both"/>
    </w:pPr>
    <w:rPr>
      <w:rFonts w:ascii="Times New Roman" w:hAnsi="Times New Roman"/>
      <w:sz w:val="24"/>
    </w:rPr>
  </w:style>
  <w:style w:type="paragraph" w:styleId="Heading1">
    <w:name w:val="heading 1"/>
    <w:basedOn w:val="Normal"/>
    <w:next w:val="Normal"/>
    <w:link w:val="Heading1Char"/>
    <w:uiPriority w:val="9"/>
    <w:qFormat/>
    <w:rsid w:val="00D454D4"/>
    <w:pPr>
      <w:keepNext/>
      <w:keepLines/>
      <w:ind w:firstLine="0"/>
      <w:outlineLvl w:val="0"/>
    </w:pPr>
    <w:rPr>
      <w:rFonts w:eastAsiaTheme="majorEastAsia" w:cstheme="majorBidi"/>
      <w:b/>
      <w:bCs/>
      <w:caps/>
      <w:color w:val="F0AD00" w:themeColor="accent1"/>
      <w:sz w:val="28"/>
      <w:szCs w:val="28"/>
    </w:rPr>
  </w:style>
  <w:style w:type="paragraph" w:styleId="Heading2">
    <w:name w:val="heading 2"/>
    <w:basedOn w:val="Normal"/>
    <w:next w:val="Normal"/>
    <w:link w:val="Heading2Char"/>
    <w:uiPriority w:val="9"/>
    <w:unhideWhenUsed/>
    <w:qFormat/>
    <w:rsid w:val="00D454D4"/>
    <w:pPr>
      <w:keepNext/>
      <w:keepLines/>
      <w:ind w:firstLine="0"/>
      <w:outlineLvl w:val="1"/>
    </w:pPr>
    <w:rPr>
      <w:rFonts w:eastAsiaTheme="majorEastAsia" w:cstheme="majorBidi"/>
      <w:b/>
      <w:bCs/>
      <w:i/>
      <w:color w:val="FFD15D" w:themeColor="accent1" w:themeTint="99"/>
      <w:sz w:val="28"/>
      <w:szCs w:val="26"/>
    </w:rPr>
  </w:style>
  <w:style w:type="paragraph" w:styleId="Heading3">
    <w:name w:val="heading 3"/>
    <w:basedOn w:val="Normal"/>
    <w:next w:val="Normal"/>
    <w:link w:val="Heading3Char"/>
    <w:uiPriority w:val="9"/>
    <w:unhideWhenUsed/>
    <w:qFormat/>
    <w:rsid w:val="00E3611B"/>
    <w:pPr>
      <w:keepNext/>
      <w:keepLines/>
      <w:spacing w:before="200" w:after="0"/>
      <w:outlineLvl w:val="2"/>
    </w:pPr>
    <w:rPr>
      <w:rFonts w:asciiTheme="majorHAnsi" w:eastAsiaTheme="majorEastAsia" w:hAnsiTheme="majorHAnsi" w:cstheme="majorBidi"/>
      <w:b/>
      <w:bCs/>
      <w:color w:val="F0AD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4D4"/>
    <w:rPr>
      <w:rFonts w:ascii="Times New Roman" w:eastAsiaTheme="majorEastAsia" w:hAnsi="Times New Roman" w:cstheme="majorBidi"/>
      <w:b/>
      <w:bCs/>
      <w:caps/>
      <w:color w:val="F0AD00" w:themeColor="accent1"/>
      <w:sz w:val="28"/>
      <w:szCs w:val="28"/>
    </w:rPr>
  </w:style>
  <w:style w:type="character" w:customStyle="1" w:styleId="Heading2Char">
    <w:name w:val="Heading 2 Char"/>
    <w:basedOn w:val="DefaultParagraphFont"/>
    <w:link w:val="Heading2"/>
    <w:uiPriority w:val="9"/>
    <w:rsid w:val="00D454D4"/>
    <w:rPr>
      <w:rFonts w:ascii="Times New Roman" w:eastAsiaTheme="majorEastAsia" w:hAnsi="Times New Roman" w:cstheme="majorBidi"/>
      <w:b/>
      <w:bCs/>
      <w:i/>
      <w:color w:val="FFD15D" w:themeColor="accent1" w:themeTint="99"/>
      <w:sz w:val="28"/>
      <w:szCs w:val="26"/>
    </w:rPr>
  </w:style>
  <w:style w:type="character" w:customStyle="1" w:styleId="Heading3Char">
    <w:name w:val="Heading 3 Char"/>
    <w:basedOn w:val="DefaultParagraphFont"/>
    <w:link w:val="Heading3"/>
    <w:uiPriority w:val="9"/>
    <w:rsid w:val="00E3611B"/>
    <w:rPr>
      <w:rFonts w:asciiTheme="majorHAnsi" w:eastAsiaTheme="majorEastAsia" w:hAnsiTheme="majorHAnsi" w:cstheme="majorBidi"/>
      <w:b/>
      <w:bCs/>
      <w:color w:val="F0AD00" w:themeColor="accent1"/>
      <w:sz w:val="24"/>
    </w:rPr>
  </w:style>
  <w:style w:type="paragraph" w:styleId="Title">
    <w:name w:val="Title"/>
    <w:basedOn w:val="Normal"/>
    <w:next w:val="Normal"/>
    <w:link w:val="TitleChar"/>
    <w:uiPriority w:val="10"/>
    <w:qFormat/>
    <w:rsid w:val="00E3611B"/>
    <w:pPr>
      <w:pBdr>
        <w:bottom w:val="single" w:sz="8" w:space="4" w:color="F0AD00" w:themeColor="accent1"/>
      </w:pBdr>
      <w:spacing w:after="300" w:line="240" w:lineRule="auto"/>
      <w:contextualSpacing/>
    </w:pPr>
    <w:rPr>
      <w:rFonts w:asciiTheme="majorHAnsi" w:eastAsiaTheme="majorEastAsia" w:hAnsiTheme="majorHAnsi" w:cstheme="majorBidi"/>
      <w:color w:val="434959" w:themeColor="text2" w:themeShade="BF"/>
      <w:spacing w:val="5"/>
      <w:kern w:val="28"/>
      <w:sz w:val="52"/>
      <w:szCs w:val="52"/>
      <w:lang w:eastAsia="ja-JP"/>
    </w:rPr>
  </w:style>
  <w:style w:type="character" w:customStyle="1" w:styleId="TitleChar">
    <w:name w:val="Title Char"/>
    <w:basedOn w:val="DefaultParagraphFont"/>
    <w:link w:val="Title"/>
    <w:uiPriority w:val="10"/>
    <w:rsid w:val="00E3611B"/>
    <w:rPr>
      <w:rFonts w:asciiTheme="majorHAnsi" w:eastAsiaTheme="majorEastAsia" w:hAnsiTheme="majorHAnsi" w:cstheme="majorBidi"/>
      <w:color w:val="434959" w:themeColor="text2" w:themeShade="BF"/>
      <w:spacing w:val="5"/>
      <w:kern w:val="28"/>
      <w:sz w:val="52"/>
      <w:szCs w:val="52"/>
      <w:lang w:eastAsia="ja-JP"/>
    </w:rPr>
  </w:style>
  <w:style w:type="paragraph" w:styleId="Subtitle">
    <w:name w:val="Subtitle"/>
    <w:basedOn w:val="Normal"/>
    <w:next w:val="Normal"/>
    <w:link w:val="SubtitleChar"/>
    <w:uiPriority w:val="11"/>
    <w:qFormat/>
    <w:rsid w:val="00140D9D"/>
    <w:pPr>
      <w:numPr>
        <w:ilvl w:val="1"/>
      </w:numPr>
      <w:ind w:firstLine="709"/>
      <w:jc w:val="center"/>
    </w:pPr>
    <w:rPr>
      <w:rFonts w:eastAsiaTheme="majorEastAsia" w:cstheme="majorBidi"/>
      <w:i/>
      <w:iCs/>
      <w:color w:val="F0AD00" w:themeColor="accent1"/>
      <w:spacing w:val="15"/>
      <w:sz w:val="20"/>
      <w:szCs w:val="24"/>
      <w:lang w:eastAsia="ja-JP"/>
    </w:rPr>
  </w:style>
  <w:style w:type="character" w:customStyle="1" w:styleId="SubtitleChar">
    <w:name w:val="Subtitle Char"/>
    <w:basedOn w:val="DefaultParagraphFont"/>
    <w:link w:val="Subtitle"/>
    <w:uiPriority w:val="11"/>
    <w:rsid w:val="00140D9D"/>
    <w:rPr>
      <w:rFonts w:ascii="Times New Roman" w:eastAsiaTheme="majorEastAsia" w:hAnsi="Times New Roman" w:cstheme="majorBidi"/>
      <w:i/>
      <w:iCs/>
      <w:color w:val="F0AD00" w:themeColor="accent1"/>
      <w:spacing w:val="15"/>
      <w:sz w:val="20"/>
      <w:szCs w:val="24"/>
      <w:lang w:eastAsia="ja-JP"/>
    </w:rPr>
  </w:style>
  <w:style w:type="paragraph" w:styleId="NoSpacing">
    <w:name w:val="No Spacing"/>
    <w:link w:val="NoSpacingChar"/>
    <w:uiPriority w:val="1"/>
    <w:qFormat/>
    <w:rsid w:val="00E3611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E3611B"/>
    <w:rPr>
      <w:rFonts w:eastAsiaTheme="minorEastAsia"/>
      <w:lang w:eastAsia="ja-JP"/>
    </w:rPr>
  </w:style>
  <w:style w:type="paragraph" w:styleId="ListParagraph">
    <w:name w:val="List Paragraph"/>
    <w:basedOn w:val="Normal"/>
    <w:uiPriority w:val="34"/>
    <w:qFormat/>
    <w:rsid w:val="00E3611B"/>
    <w:pPr>
      <w:ind w:left="720"/>
      <w:contextualSpacing/>
    </w:pPr>
  </w:style>
  <w:style w:type="paragraph" w:styleId="Quote">
    <w:name w:val="Quote"/>
    <w:basedOn w:val="Normal"/>
    <w:next w:val="Normal"/>
    <w:link w:val="QuoteChar"/>
    <w:uiPriority w:val="29"/>
    <w:qFormat/>
    <w:rsid w:val="00E3611B"/>
    <w:rPr>
      <w:rFonts w:asciiTheme="minorHAnsi" w:eastAsiaTheme="minorEastAsia" w:hAnsiTheme="minorHAnsi"/>
      <w:i/>
      <w:iCs/>
      <w:color w:val="000000" w:themeColor="text1"/>
      <w:sz w:val="22"/>
      <w:lang w:eastAsia="ja-JP"/>
    </w:rPr>
  </w:style>
  <w:style w:type="character" w:customStyle="1" w:styleId="QuoteChar">
    <w:name w:val="Quote Char"/>
    <w:basedOn w:val="DefaultParagraphFont"/>
    <w:link w:val="Quote"/>
    <w:uiPriority w:val="29"/>
    <w:rsid w:val="00E3611B"/>
    <w:rPr>
      <w:rFonts w:eastAsiaTheme="minorEastAsia"/>
      <w:i/>
      <w:iCs/>
      <w:color w:val="000000" w:themeColor="text1"/>
      <w:lang w:eastAsia="ja-JP"/>
    </w:rPr>
  </w:style>
  <w:style w:type="character" w:styleId="SubtleEmphasis">
    <w:name w:val="Subtle Emphasis"/>
    <w:basedOn w:val="DefaultParagraphFont"/>
    <w:uiPriority w:val="19"/>
    <w:qFormat/>
    <w:rsid w:val="00E3611B"/>
    <w:rPr>
      <w:i/>
      <w:iCs/>
      <w:color w:val="808080" w:themeColor="text1" w:themeTint="7F"/>
    </w:rPr>
  </w:style>
  <w:style w:type="paragraph" w:styleId="TOCHeading">
    <w:name w:val="TOC Heading"/>
    <w:basedOn w:val="Heading1"/>
    <w:next w:val="Normal"/>
    <w:uiPriority w:val="39"/>
    <w:unhideWhenUsed/>
    <w:qFormat/>
    <w:rsid w:val="00E3611B"/>
    <w:pPr>
      <w:outlineLvl w:val="9"/>
    </w:pPr>
    <w:rPr>
      <w:lang w:val="en-US" w:eastAsia="ja-JP"/>
    </w:rPr>
  </w:style>
  <w:style w:type="paragraph" w:styleId="BalloonText">
    <w:name w:val="Balloon Text"/>
    <w:basedOn w:val="Normal"/>
    <w:link w:val="BalloonTextChar"/>
    <w:uiPriority w:val="99"/>
    <w:semiHidden/>
    <w:unhideWhenUsed/>
    <w:rsid w:val="00140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D9D"/>
    <w:rPr>
      <w:rFonts w:ascii="Tahoma" w:hAnsi="Tahoma" w:cs="Tahoma"/>
      <w:sz w:val="16"/>
      <w:szCs w:val="16"/>
    </w:rPr>
  </w:style>
  <w:style w:type="paragraph" w:styleId="TOC1">
    <w:name w:val="toc 1"/>
    <w:basedOn w:val="Normal"/>
    <w:next w:val="Normal"/>
    <w:autoRedefine/>
    <w:uiPriority w:val="39"/>
    <w:unhideWhenUsed/>
    <w:rsid w:val="00140D9D"/>
    <w:pPr>
      <w:spacing w:after="100"/>
    </w:pPr>
  </w:style>
  <w:style w:type="character" w:styleId="Hyperlink">
    <w:name w:val="Hyperlink"/>
    <w:basedOn w:val="DefaultParagraphFont"/>
    <w:uiPriority w:val="99"/>
    <w:unhideWhenUsed/>
    <w:rsid w:val="007E53A7"/>
    <w:rPr>
      <w:color w:val="168BBA" w:themeColor="hyperlink"/>
      <w:u w:val="single"/>
    </w:rPr>
  </w:style>
  <w:style w:type="character" w:styleId="FollowedHyperlink">
    <w:name w:val="FollowedHyperlink"/>
    <w:basedOn w:val="DefaultParagraphFont"/>
    <w:uiPriority w:val="99"/>
    <w:semiHidden/>
    <w:unhideWhenUsed/>
    <w:rsid w:val="007E53A7"/>
    <w:rPr>
      <w:color w:val="680000" w:themeColor="followedHyperlink"/>
      <w:u w:val="single"/>
    </w:rPr>
  </w:style>
  <w:style w:type="table" w:styleId="TableGrid">
    <w:name w:val="Table Grid"/>
    <w:basedOn w:val="TableNormal"/>
    <w:uiPriority w:val="59"/>
    <w:rsid w:val="007E5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7E53A7"/>
    <w:pPr>
      <w:spacing w:after="0" w:line="240" w:lineRule="auto"/>
    </w:pPr>
    <w:rPr>
      <w:color w:val="B38000" w:themeColor="accent1" w:themeShade="BF"/>
    </w:rPr>
    <w:tblPr>
      <w:tblStyleRowBandSize w:val="1"/>
      <w:tblStyleColBandSize w:val="1"/>
      <w:tblBorders>
        <w:top w:val="single" w:sz="8" w:space="0" w:color="F0AD00" w:themeColor="accent1"/>
        <w:bottom w:val="single" w:sz="8" w:space="0" w:color="F0AD00" w:themeColor="accent1"/>
      </w:tblBorders>
    </w:tblPr>
    <w:tblStylePr w:type="firstRow">
      <w:pPr>
        <w:spacing w:before="0" w:after="0" w:line="240" w:lineRule="auto"/>
      </w:pPr>
      <w:rPr>
        <w:b/>
        <w:bCs/>
      </w:rPr>
      <w:tblPr/>
      <w:tcPr>
        <w:tcBorders>
          <w:top w:val="single" w:sz="8" w:space="0" w:color="F0AD00" w:themeColor="accent1"/>
          <w:left w:val="nil"/>
          <w:bottom w:val="single" w:sz="8" w:space="0" w:color="F0AD00" w:themeColor="accent1"/>
          <w:right w:val="nil"/>
          <w:insideH w:val="nil"/>
          <w:insideV w:val="nil"/>
        </w:tcBorders>
      </w:tcPr>
    </w:tblStylePr>
    <w:tblStylePr w:type="lastRow">
      <w:pPr>
        <w:spacing w:before="0" w:after="0" w:line="240" w:lineRule="auto"/>
      </w:pPr>
      <w:rPr>
        <w:b/>
        <w:bCs/>
      </w:rPr>
      <w:tblPr/>
      <w:tcPr>
        <w:tcBorders>
          <w:top w:val="single" w:sz="8" w:space="0" w:color="F0AD00" w:themeColor="accent1"/>
          <w:left w:val="nil"/>
          <w:bottom w:val="single" w:sz="8" w:space="0" w:color="F0AD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BC" w:themeFill="accent1" w:themeFillTint="3F"/>
      </w:tcPr>
    </w:tblStylePr>
    <w:tblStylePr w:type="band1Horz">
      <w:tblPr/>
      <w:tcPr>
        <w:tcBorders>
          <w:left w:val="nil"/>
          <w:right w:val="nil"/>
          <w:insideH w:val="nil"/>
          <w:insideV w:val="nil"/>
        </w:tcBorders>
        <w:shd w:val="clear" w:color="auto" w:fill="FFECBC" w:themeFill="accent1" w:themeFillTint="3F"/>
      </w:tcPr>
    </w:tblStylePr>
  </w:style>
  <w:style w:type="paragraph" w:styleId="Bibliography">
    <w:name w:val="Bibliography"/>
    <w:basedOn w:val="Normal"/>
    <w:next w:val="Normal"/>
    <w:uiPriority w:val="37"/>
    <w:unhideWhenUsed/>
    <w:rsid w:val="00E76BCC"/>
  </w:style>
  <w:style w:type="paragraph" w:styleId="Header">
    <w:name w:val="header"/>
    <w:basedOn w:val="Normal"/>
    <w:link w:val="HeaderChar"/>
    <w:uiPriority w:val="99"/>
    <w:unhideWhenUsed/>
    <w:rsid w:val="00B60E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0EEB"/>
    <w:rPr>
      <w:rFonts w:ascii="Times New Roman" w:hAnsi="Times New Roman"/>
      <w:sz w:val="24"/>
    </w:rPr>
  </w:style>
  <w:style w:type="paragraph" w:styleId="Footer">
    <w:name w:val="footer"/>
    <w:basedOn w:val="Normal"/>
    <w:link w:val="FooterChar"/>
    <w:uiPriority w:val="99"/>
    <w:unhideWhenUsed/>
    <w:rsid w:val="00B60E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0EEB"/>
    <w:rPr>
      <w:rFonts w:ascii="Times New Roman" w:hAnsi="Times New Roman"/>
      <w:sz w:val="24"/>
    </w:rPr>
  </w:style>
  <w:style w:type="paragraph" w:styleId="TOC2">
    <w:name w:val="toc 2"/>
    <w:basedOn w:val="Normal"/>
    <w:next w:val="Normal"/>
    <w:autoRedefine/>
    <w:uiPriority w:val="39"/>
    <w:unhideWhenUsed/>
    <w:rsid w:val="00B60EEB"/>
    <w:pPr>
      <w:spacing w:after="100"/>
      <w:ind w:left="240"/>
    </w:pPr>
  </w:style>
  <w:style w:type="paragraph" w:styleId="FootnoteText">
    <w:name w:val="footnote text"/>
    <w:basedOn w:val="Normal"/>
    <w:link w:val="FootnoteTextChar"/>
    <w:uiPriority w:val="99"/>
    <w:semiHidden/>
    <w:unhideWhenUsed/>
    <w:rsid w:val="001F7E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7EBC"/>
    <w:rPr>
      <w:rFonts w:ascii="Times New Roman" w:hAnsi="Times New Roman"/>
      <w:sz w:val="20"/>
      <w:szCs w:val="20"/>
    </w:rPr>
  </w:style>
  <w:style w:type="character" w:styleId="FootnoteReference">
    <w:name w:val="footnote reference"/>
    <w:basedOn w:val="DefaultParagraphFont"/>
    <w:uiPriority w:val="99"/>
    <w:semiHidden/>
    <w:unhideWhenUsed/>
    <w:rsid w:val="001F7E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Modul">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Сто181</b:Tag>
    <b:SourceType>BookSection</b:SourceType>
    <b:Guid>{AB71B471-2CFC-4483-9D46-D3F1F1D1977B}</b:Guid>
    <b:LCID>sr-Cyrl-RS</b:LCID>
    <b:Year>2018</b:Year>
    <b:Author>
      <b:Author>
        <b:NameList>
          <b:Person>
            <b:Last>Стојановић</b:Last>
            <b:First>Иван</b:First>
          </b:Person>
          <b:Person>
            <b:Last>Манић</b:Last>
            <b:First>Александар</b:First>
          </b:Person>
          <b:Person>
            <b:Last>Нерић</b:Last>
            <b:First>Ненад</b:First>
          </b:Person>
        </b:NameList>
      </b:Author>
    </b:Author>
    <b:BookTitle>Аграрна политика и рурални развој Европске Уније и Србије</b:BookTitle>
    <b:Pages>117-140</b:Pages>
    <b:City>Зајечар</b:City>
    <b:Publisher>Факултет за менаџмент</b:Publisher>
    <b:RefOrder>3</b:RefOrder>
  </b:Source>
  <b:Source>
    <b:Tag>Јов222</b:Tag>
    <b:SourceType>BookSection</b:SourceType>
    <b:Guid>{BBC4C868-9413-48AC-A169-02112DDFC3C9}</b:Guid>
    <b:LCID>sr-Cyrl-RS</b:LCID>
    <b:BookTitle>Нова заједничка аграрна политика Европске Ууније (2023-27) и потенцијалне импликације на пољопривреду Србије</b:BookTitle>
    <b:Year>2022</b:Year>
    <b:Pages>263-268</b:Pages>
    <b:City>Суботица</b:City>
    <b:Publisher>Економски факултет</b:Publisher>
    <b:Author>
      <b:Author>
        <b:NameList>
          <b:Person>
            <b:Last>Јовић</b:Last>
            <b:Middle>Водана</b:Middle>
            <b:First>Луна</b:First>
          </b:Person>
          <b:Person>
            <b:Last>Ђокић</b:Last>
            <b:First>Данило</b:First>
          </b:Person>
          <b:Person>
            <b:Last>Зекић</b:Last>
            <b:First>Станислав</b:First>
          </b:Person>
        </b:NameList>
      </b:Author>
    </b:Author>
    <b:RefOrder>1</b:RefOrder>
  </b:Source>
  <b:Source>
    <b:Tag>Мил051</b:Tag>
    <b:SourceType>BookSection</b:SourceType>
    <b:Guid>{A19D43CC-F198-435F-9A22-6A7F62F75B3F}</b:Guid>
    <b:LCID>sr-Cyrl-RS</b:LCID>
    <b:BookTitle>Приближавање Србије/СЦГ Европској Унији</b:BookTitle>
    <b:Year>2005</b:Year>
    <b:Pages>95-113</b:Pages>
    <b:City>Ваљево</b:City>
    <b:Publisher>Факултет за менаџмент</b:Publisher>
    <b:Author>
      <b:Author>
        <b:NameList>
          <b:Person>
            <b:Last>Милановић</b:Last>
            <b:First>М.</b:First>
          </b:Person>
        </b:NameList>
      </b:Author>
    </b:Author>
    <b:RefOrder>4</b:RefOrder>
  </b:Source>
  <b:Source>
    <b:Tag>Цви11</b:Tag>
    <b:SourceType>BookSection</b:SourceType>
    <b:Guid>{206818A8-DC81-4C4E-8408-1E57CE51B450}</b:Guid>
    <b:LCID>sr-Cyrl-RS</b:LCID>
    <b:BookTitle>Тежишта и цињеви новијих реформи аграрне и регионалне политике Европске Уније</b:BookTitle>
    <b:Year>2011</b:Year>
    <b:Pages>359-370</b:Pages>
    <b:City>Београд</b:City>
    <b:Publisher>Институт за економику пољопривреде</b:Publisher>
    <b:Author>
      <b:Author>
        <b:NameList>
          <b:Person>
            <b:Last>Цвијановић</b:Last>
            <b:First>Д.</b:First>
          </b:Person>
          <b:Person>
            <b:Last>Симоновић</b:Last>
            <b:First>З.</b:First>
          </b:Person>
          <b:Person>
            <b:Last>Михаиловић</b:Last>
            <b:First>Б.</b:First>
          </b:Person>
        </b:NameList>
      </b:Author>
    </b:Author>
    <b:RefOrder>5</b:RefOrder>
  </b:Source>
  <b:Source>
    <b:Tag>Евр19</b:Tag>
    <b:SourceType>BookSection</b:SourceType>
    <b:Guid>{274D8A58-BDB0-4992-86DD-BED395EDD0A3}</b:Guid>
    <b:LCID>sr-Cyrl-RS</b:LCID>
    <b:BookTitle>Саопштење комисије европском парламенту, европском савету, савету ЕУ, евопском економском и социјалном комитету и комитету региона</b:BookTitle>
    <b:Year>2019</b:Year>
    <b:City>Брисел</b:City>
    <b:Publisher>Европски зелени договор</b:Publisher>
    <b:Author>
      <b:Author>
        <b:NameList>
          <b:Person>
            <b:Last>Европски зелени договор</b:Last>
          </b:Person>
        </b:NameList>
      </b:Author>
    </b:Author>
    <b:RefOrder>2</b:RefOrder>
  </b:Source>
  <b:Source>
    <b:Tag>Лак15</b:Tag>
    <b:SourceType>BookSection</b:SourceType>
    <b:Guid>{9361B4D0-DCCA-4C9D-BF77-1639425F33F9}</b:Guid>
    <b:LCID>sr-Cyrl-RS</b:LCID>
    <b:BookTitle>Утицај проширења Европске Уније на процес европских интеграција</b:BookTitle>
    <b:Year>2015</b:Year>
    <b:City>Београд</b:City>
    <b:Publisher>Факултет политичких наука</b:Publisher>
    <b:Author>
      <b:Author>
        <b:NameList>
          <b:Person>
            <b:Last>Лакић</b:Last>
            <b:Middle>М.</b:Middle>
            <b:First>Данијела</b:First>
          </b:Person>
        </b:NameList>
      </b:Author>
    </b:Author>
    <b:RefOrder>6</b:RefOrder>
  </b:Source>
  <b:Source>
    <b:Tag>Реп18</b:Tag>
    <b:SourceType>BookSection</b:SourceType>
    <b:Guid>{153A36DC-10B1-4E68-A0C9-FD7FBF83C363}</b:Guid>
    <b:BookTitle>Заједничка пољопривредна политика Европске Уније (ЗПП)</b:BookTitle>
    <b:Year>2018</b:Year>
    <b:Pages>2-11</b:Pages>
    <b:Publisher>Министарство пољопривреде, шумарства и водопривреде</b:Publisher>
    <b:Author>
      <b:Author>
        <b:NameList>
          <b:Person>
            <b:Last>Србија</b:Last>
            <b:First>Република</b:First>
          </b:Person>
        </b:NameList>
      </b:Author>
    </b:Author>
    <b:LCID>sr-Cyrl-RS</b:LCID>
    <b:RefOrder>7</b:RefOrder>
  </b:Source>
</b:Sources>
</file>

<file path=customXml/itemProps1.xml><?xml version="1.0" encoding="utf-8"?>
<ds:datastoreItem xmlns:ds="http://schemas.openxmlformats.org/officeDocument/2006/customXml" ds:itemID="{BC5906E2-39ED-4FC4-AF94-635C611B3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3049</Words>
  <Characters>17381</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Sara</cp:lastModifiedBy>
  <cp:revision>14</cp:revision>
  <dcterms:created xsi:type="dcterms:W3CDTF">2023-01-22T00:15:00Z</dcterms:created>
  <dcterms:modified xsi:type="dcterms:W3CDTF">2023-06-08T09:12:00Z</dcterms:modified>
</cp:coreProperties>
</file>